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63973">
      <w:pPr>
        <w:rPr>
          <w:sz w:val="32"/>
          <w:szCs w:val="32"/>
        </w:rPr>
      </w:pPr>
      <w:bookmarkStart w:id="0" w:name="_Toc17083"/>
      <w:bookmarkStart w:id="1" w:name="_Toc9127"/>
      <w:r>
        <w:rPr>
          <w:sz w:val="32"/>
          <w:szCs w:val="32"/>
        </w:rPr>
        <w:t>附件：</w:t>
      </w:r>
    </w:p>
    <w:p w14:paraId="076C8C35">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7307DD82">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1D17695B">
      <w:pPr>
        <w:jc w:val="center"/>
        <w:rPr>
          <w:rFonts w:ascii="Times New Roman" w:hAnsi="Times New Roman"/>
          <w:b/>
          <w:bCs/>
          <w:color w:val="000000" w:themeColor="text1"/>
          <w:sz w:val="52"/>
          <w:szCs w:val="52"/>
          <w14:textFill>
            <w14:solidFill>
              <w14:schemeClr w14:val="tx1"/>
            </w14:solidFill>
          </w14:textFill>
        </w:rPr>
      </w:pPr>
    </w:p>
    <w:p w14:paraId="35F8205A">
      <w:pPr>
        <w:jc w:val="center"/>
        <w:rPr>
          <w:rFonts w:ascii="方正小标宋简体" w:hAnsi="方正小标宋简体" w:eastAsia="方正小标宋简体"/>
          <w:sz w:val="84"/>
          <w:szCs w:val="84"/>
        </w:rPr>
      </w:pPr>
      <w:bookmarkStart w:id="2" w:name="_Toc7192"/>
      <w:bookmarkStart w:id="3" w:name="_Toc23231"/>
      <w:r>
        <w:rPr>
          <w:rFonts w:hint="eastAsia" w:ascii="方正小标宋简体" w:hAnsi="方正小标宋简体" w:eastAsia="方正小标宋简体"/>
          <w:sz w:val="84"/>
          <w:szCs w:val="84"/>
        </w:rPr>
        <w:t>比</w:t>
      </w:r>
      <w:bookmarkEnd w:id="2"/>
      <w:bookmarkEnd w:id="3"/>
    </w:p>
    <w:p w14:paraId="50AD0AB1">
      <w:pPr>
        <w:jc w:val="center"/>
        <w:rPr>
          <w:rFonts w:ascii="方正小标宋简体" w:hAnsi="方正小标宋简体" w:eastAsia="方正小标宋简体"/>
          <w:sz w:val="84"/>
          <w:szCs w:val="84"/>
        </w:rPr>
      </w:pPr>
      <w:bookmarkStart w:id="4" w:name="_Toc9290"/>
      <w:bookmarkStart w:id="5" w:name="_Toc23942"/>
      <w:r>
        <w:rPr>
          <w:rFonts w:hint="eastAsia" w:ascii="方正小标宋简体" w:hAnsi="方正小标宋简体" w:eastAsia="方正小标宋简体"/>
          <w:sz w:val="84"/>
          <w:szCs w:val="84"/>
        </w:rPr>
        <w:t>选</w:t>
      </w:r>
      <w:bookmarkEnd w:id="4"/>
      <w:bookmarkEnd w:id="5"/>
    </w:p>
    <w:p w14:paraId="6F72C4D5">
      <w:pPr>
        <w:jc w:val="center"/>
        <w:rPr>
          <w:rFonts w:ascii="方正小标宋简体" w:hAnsi="方正小标宋简体" w:eastAsia="方正小标宋简体"/>
          <w:sz w:val="84"/>
          <w:szCs w:val="84"/>
        </w:rPr>
      </w:pPr>
      <w:bookmarkStart w:id="6" w:name="_Toc17363"/>
      <w:bookmarkStart w:id="7" w:name="_Toc9068"/>
      <w:r>
        <w:rPr>
          <w:rFonts w:hint="eastAsia" w:ascii="方正小标宋简体" w:hAnsi="方正小标宋简体" w:eastAsia="方正小标宋简体"/>
          <w:sz w:val="84"/>
          <w:szCs w:val="84"/>
        </w:rPr>
        <w:t>文</w:t>
      </w:r>
      <w:bookmarkEnd w:id="6"/>
      <w:bookmarkEnd w:id="7"/>
    </w:p>
    <w:p w14:paraId="68BD835B">
      <w:pPr>
        <w:jc w:val="center"/>
        <w:rPr>
          <w:rFonts w:ascii="方正小标宋简体" w:hAnsi="方正小标宋简体" w:eastAsia="方正小标宋简体"/>
          <w:sz w:val="84"/>
          <w:szCs w:val="84"/>
        </w:rPr>
      </w:pPr>
      <w:bookmarkStart w:id="8" w:name="_Toc7661"/>
      <w:bookmarkStart w:id="9" w:name="_Toc21464"/>
      <w:r>
        <w:rPr>
          <w:rFonts w:hint="eastAsia" w:ascii="方正小标宋简体" w:hAnsi="方正小标宋简体" w:eastAsia="方正小标宋简体"/>
          <w:sz w:val="84"/>
          <w:szCs w:val="84"/>
        </w:rPr>
        <w:t>件</w:t>
      </w:r>
      <w:bookmarkEnd w:id="8"/>
      <w:bookmarkEnd w:id="9"/>
    </w:p>
    <w:p w14:paraId="58769947">
      <w:pPr>
        <w:rPr>
          <w:rFonts w:ascii="Times New Roman" w:hAnsi="Times New Roman"/>
          <w:color w:val="000000" w:themeColor="text1"/>
          <w:sz w:val="30"/>
          <w:szCs w:val="30"/>
          <w14:textFill>
            <w14:solidFill>
              <w14:schemeClr w14:val="tx1"/>
            </w14:solidFill>
          </w14:textFill>
        </w:rPr>
      </w:pPr>
    </w:p>
    <w:p w14:paraId="7A3C1CF5">
      <w:pPr>
        <w:ind w:left="1800" w:hanging="1800" w:hangingChars="500"/>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项目名称：病房劳务服务临时采购项目</w:t>
      </w:r>
    </w:p>
    <w:p w14:paraId="1AEC5EAB">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r>
        <w:rPr>
          <w:rFonts w:hint="eastAsia" w:ascii="方正小标宋简体" w:hAnsi="方正小标宋简体" w:eastAsia="方正小标宋简体" w:cs="方正小标宋简体"/>
          <w:bCs/>
          <w:color w:val="000000" w:themeColor="text1"/>
          <w:sz w:val="36"/>
          <w:szCs w:val="36"/>
          <w:u w:val="single"/>
          <w14:textFill>
            <w14:solidFill>
              <w14:schemeClr w14:val="tx1"/>
            </w14:solidFill>
          </w14:textFill>
        </w:rPr>
        <w:t>28</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14:paraId="049F7206">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3667AD77">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3BE46D28">
      <w:pPr>
        <w:jc w:val="center"/>
        <w:rPr>
          <w:rFonts w:ascii="方正小标宋简体" w:hAnsi="方正小标宋简体" w:eastAsia="方正小标宋简体" w:cs="方正小标宋简体"/>
          <w:bCs/>
          <w:sz w:val="36"/>
          <w:szCs w:val="36"/>
        </w:rPr>
      </w:pPr>
      <w:bookmarkStart w:id="12" w:name="_Toc2442"/>
      <w:bookmarkStart w:id="13" w:name="_Toc26288"/>
      <w:r>
        <w:rPr>
          <w:rFonts w:hint="eastAsia" w:ascii="方正小标宋简体" w:hAnsi="方正小标宋简体" w:eastAsia="方正小标宋简体" w:cs="方正小标宋简体"/>
          <w:bCs/>
          <w:sz w:val="36"/>
          <w:szCs w:val="36"/>
        </w:rPr>
        <w:t>万源市中心医院（比选人）编制</w:t>
      </w:r>
      <w:bookmarkEnd w:id="12"/>
      <w:bookmarkEnd w:id="13"/>
    </w:p>
    <w:p w14:paraId="6251D410">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年10月</w:t>
      </w:r>
    </w:p>
    <w:p w14:paraId="5011B306">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b/>
          <w:bCs/>
          <w:sz w:val="24"/>
          <w:szCs w:val="32"/>
        </w:rPr>
        <w:id w:val="147453726"/>
        <w15:color w:val="DBDBDB"/>
        <w:docPartObj>
          <w:docPartGallery w:val="Table of Contents"/>
          <w:docPartUnique/>
        </w:docPartObj>
      </w:sdtPr>
      <w:sdtEndPr>
        <w:rPr>
          <w:rFonts w:hint="eastAsia" w:ascii="仿宋" w:hAnsi="仿宋" w:eastAsia="仿宋" w:cs="仿宋"/>
          <w:b/>
          <w:bCs/>
          <w:color w:val="000000" w:themeColor="text1"/>
          <w:sz w:val="32"/>
          <w:szCs w:val="32"/>
          <w14:textFill>
            <w14:solidFill>
              <w14:schemeClr w14:val="tx1"/>
            </w14:solidFill>
          </w14:textFill>
        </w:rPr>
      </w:sdtEndPr>
      <w:sdtContent>
        <w:p w14:paraId="37F2487C">
          <w:pPr>
            <w:jc w:val="center"/>
            <w:rPr>
              <w:rFonts w:ascii="仿宋" w:hAnsi="仿宋" w:eastAsia="仿宋" w:cs="仿宋"/>
              <w:b/>
              <w:bCs/>
              <w:sz w:val="36"/>
              <w:szCs w:val="36"/>
            </w:rPr>
          </w:pPr>
          <w:r>
            <w:rPr>
              <w:rFonts w:hint="eastAsia" w:ascii="仿宋" w:hAnsi="仿宋" w:eastAsia="仿宋" w:cs="仿宋"/>
              <w:b/>
              <w:bCs/>
              <w:sz w:val="36"/>
              <w:szCs w:val="36"/>
            </w:rPr>
            <w:t>目  录</w:t>
          </w:r>
        </w:p>
        <w:p w14:paraId="3B00521B">
          <w:pPr>
            <w:pStyle w:val="19"/>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_Toc7630 </w:instrText>
          </w:r>
          <w:r>
            <w:rPr>
              <w:rFonts w:hint="eastAsia" w:asciiTheme="minorEastAsia" w:hAnsiTheme="minorEastAsia" w:eastAsiaTheme="minorEastAsia" w:cstheme="minorEastAsia"/>
              <w:bCs/>
              <w:sz w:val="28"/>
              <w:szCs w:val="28"/>
            </w:rPr>
            <w:fldChar w:fldCharType="separate"/>
          </w:r>
          <w:r>
            <w:rPr>
              <w:rFonts w:hint="eastAsia"/>
              <w:sz w:val="28"/>
              <w:szCs w:val="28"/>
            </w:rPr>
            <w:t>第一章 比选邀请书</w:t>
          </w:r>
          <w:r>
            <w:rPr>
              <w:sz w:val="28"/>
              <w:szCs w:val="28"/>
            </w:rPr>
            <w:tab/>
          </w:r>
          <w:r>
            <w:rPr>
              <w:sz w:val="28"/>
              <w:szCs w:val="28"/>
            </w:rPr>
            <w:fldChar w:fldCharType="begin"/>
          </w:r>
          <w:r>
            <w:rPr>
              <w:sz w:val="28"/>
              <w:szCs w:val="28"/>
            </w:rPr>
            <w:instrText xml:space="preserve"> PAGEREF _Toc7630 \h </w:instrText>
          </w:r>
          <w:r>
            <w:rPr>
              <w:sz w:val="28"/>
              <w:szCs w:val="28"/>
            </w:rPr>
            <w:fldChar w:fldCharType="separate"/>
          </w:r>
          <w:r>
            <w:rPr>
              <w:sz w:val="28"/>
              <w:szCs w:val="28"/>
            </w:rPr>
            <w:t>- 1 -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FC5BE2D">
          <w:pPr>
            <w:pStyle w:val="19"/>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_Toc25816 </w:instrText>
          </w:r>
          <w:r>
            <w:rPr>
              <w:rFonts w:hint="eastAsia" w:asciiTheme="minorEastAsia" w:hAnsiTheme="minorEastAsia" w:eastAsiaTheme="minorEastAsia" w:cstheme="minorEastAsia"/>
              <w:bCs/>
              <w:sz w:val="28"/>
              <w:szCs w:val="28"/>
            </w:rPr>
            <w:fldChar w:fldCharType="separate"/>
          </w:r>
          <w:r>
            <w:rPr>
              <w:sz w:val="28"/>
              <w:szCs w:val="28"/>
            </w:rPr>
            <w:t>第二章 比选申请人须知</w:t>
          </w:r>
          <w:r>
            <w:rPr>
              <w:sz w:val="28"/>
              <w:szCs w:val="28"/>
            </w:rPr>
            <w:tab/>
          </w:r>
          <w:r>
            <w:rPr>
              <w:sz w:val="28"/>
              <w:szCs w:val="28"/>
            </w:rPr>
            <w:fldChar w:fldCharType="begin"/>
          </w:r>
          <w:r>
            <w:rPr>
              <w:sz w:val="28"/>
              <w:szCs w:val="28"/>
            </w:rPr>
            <w:instrText xml:space="preserve"> PAGEREF _Toc25816 \h </w:instrText>
          </w:r>
          <w:r>
            <w:rPr>
              <w:sz w:val="28"/>
              <w:szCs w:val="28"/>
            </w:rPr>
            <w:fldChar w:fldCharType="separate"/>
          </w:r>
          <w:r>
            <w:rPr>
              <w:sz w:val="28"/>
              <w:szCs w:val="28"/>
            </w:rPr>
            <w:t>- 3 -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43AC0771">
          <w:pPr>
            <w:pStyle w:val="19"/>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_Toc2329 </w:instrText>
          </w:r>
          <w:r>
            <w:rPr>
              <w:rFonts w:hint="eastAsia" w:asciiTheme="minorEastAsia" w:hAnsiTheme="minorEastAsia" w:eastAsiaTheme="minorEastAsia" w:cstheme="minorEastAsia"/>
              <w:bCs/>
              <w:sz w:val="28"/>
              <w:szCs w:val="28"/>
            </w:rPr>
            <w:fldChar w:fldCharType="separate"/>
          </w:r>
          <w:r>
            <w:rPr>
              <w:sz w:val="28"/>
              <w:szCs w:val="28"/>
            </w:rPr>
            <w:t>第三章 评审办法</w:t>
          </w:r>
          <w:r>
            <w:rPr>
              <w:sz w:val="28"/>
              <w:szCs w:val="28"/>
            </w:rPr>
            <w:tab/>
          </w:r>
          <w:r>
            <w:rPr>
              <w:sz w:val="28"/>
              <w:szCs w:val="28"/>
            </w:rPr>
            <w:fldChar w:fldCharType="begin"/>
          </w:r>
          <w:r>
            <w:rPr>
              <w:sz w:val="28"/>
              <w:szCs w:val="28"/>
            </w:rPr>
            <w:instrText xml:space="preserve"> PAGEREF _Toc2329 \h </w:instrText>
          </w:r>
          <w:r>
            <w:rPr>
              <w:sz w:val="28"/>
              <w:szCs w:val="28"/>
            </w:rPr>
            <w:fldChar w:fldCharType="separate"/>
          </w:r>
          <w:r>
            <w:rPr>
              <w:sz w:val="28"/>
              <w:szCs w:val="28"/>
            </w:rPr>
            <w:t>- 7 -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10F01DD">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_Toc19688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一、总则</w:t>
          </w:r>
          <w:r>
            <w:rPr>
              <w:sz w:val="28"/>
              <w:szCs w:val="28"/>
            </w:rPr>
            <w:tab/>
          </w:r>
          <w:r>
            <w:rPr>
              <w:sz w:val="28"/>
              <w:szCs w:val="28"/>
            </w:rPr>
            <w:fldChar w:fldCharType="begin"/>
          </w:r>
          <w:r>
            <w:rPr>
              <w:sz w:val="28"/>
              <w:szCs w:val="28"/>
            </w:rPr>
            <w:instrText xml:space="preserve"> PAGEREF _Toc19688 \h </w:instrText>
          </w:r>
          <w:r>
            <w:rPr>
              <w:sz w:val="28"/>
              <w:szCs w:val="28"/>
            </w:rPr>
            <w:fldChar w:fldCharType="separate"/>
          </w:r>
          <w:r>
            <w:rPr>
              <w:sz w:val="28"/>
              <w:szCs w:val="28"/>
            </w:rPr>
            <w:t>- 7 -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7048C5E">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_Toc22967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二、评审程序</w:t>
          </w:r>
          <w:r>
            <w:rPr>
              <w:sz w:val="28"/>
              <w:szCs w:val="28"/>
            </w:rPr>
            <w:tab/>
          </w:r>
          <w:r>
            <w:rPr>
              <w:sz w:val="28"/>
              <w:szCs w:val="28"/>
            </w:rPr>
            <w:fldChar w:fldCharType="begin"/>
          </w:r>
          <w:r>
            <w:rPr>
              <w:sz w:val="28"/>
              <w:szCs w:val="28"/>
            </w:rPr>
            <w:instrText xml:space="preserve"> PAGEREF _Toc22967 \h </w:instrText>
          </w:r>
          <w:r>
            <w:rPr>
              <w:sz w:val="28"/>
              <w:szCs w:val="28"/>
            </w:rPr>
            <w:fldChar w:fldCharType="separate"/>
          </w:r>
          <w:r>
            <w:rPr>
              <w:sz w:val="28"/>
              <w:szCs w:val="28"/>
            </w:rPr>
            <w:t>- 8 -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80536C6">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_Toc11464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三、比选纪律及注意事项</w:t>
          </w:r>
          <w:r>
            <w:rPr>
              <w:sz w:val="28"/>
              <w:szCs w:val="28"/>
            </w:rPr>
            <w:tab/>
          </w:r>
          <w:r>
            <w:rPr>
              <w:sz w:val="28"/>
              <w:szCs w:val="28"/>
            </w:rPr>
            <w:fldChar w:fldCharType="begin"/>
          </w:r>
          <w:r>
            <w:rPr>
              <w:sz w:val="28"/>
              <w:szCs w:val="28"/>
            </w:rPr>
            <w:instrText xml:space="preserve"> PAGEREF _Toc11464 \h </w:instrText>
          </w:r>
          <w:r>
            <w:rPr>
              <w:sz w:val="28"/>
              <w:szCs w:val="28"/>
            </w:rPr>
            <w:fldChar w:fldCharType="separate"/>
          </w:r>
          <w:r>
            <w:rPr>
              <w:sz w:val="28"/>
              <w:szCs w:val="28"/>
            </w:rPr>
            <w:t>- 15 -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82C2EE4">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_Toc136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四、确定成交供应商</w:t>
          </w:r>
          <w:r>
            <w:rPr>
              <w:sz w:val="28"/>
              <w:szCs w:val="28"/>
            </w:rPr>
            <w:tab/>
          </w:r>
          <w:r>
            <w:rPr>
              <w:sz w:val="28"/>
              <w:szCs w:val="28"/>
            </w:rPr>
            <w:fldChar w:fldCharType="begin"/>
          </w:r>
          <w:r>
            <w:rPr>
              <w:sz w:val="28"/>
              <w:szCs w:val="28"/>
            </w:rPr>
            <w:instrText xml:space="preserve"> PAGEREF _Toc136 \h </w:instrText>
          </w:r>
          <w:r>
            <w:rPr>
              <w:sz w:val="28"/>
              <w:szCs w:val="28"/>
            </w:rPr>
            <w:fldChar w:fldCharType="separate"/>
          </w:r>
          <w:r>
            <w:rPr>
              <w:sz w:val="28"/>
              <w:szCs w:val="28"/>
            </w:rPr>
            <w:t>- 15 -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48EAC891">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_Toc12836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五、成交公告</w:t>
          </w:r>
          <w:r>
            <w:rPr>
              <w:sz w:val="28"/>
              <w:szCs w:val="28"/>
            </w:rPr>
            <w:tab/>
          </w:r>
          <w:r>
            <w:rPr>
              <w:sz w:val="28"/>
              <w:szCs w:val="28"/>
            </w:rPr>
            <w:fldChar w:fldCharType="begin"/>
          </w:r>
          <w:r>
            <w:rPr>
              <w:sz w:val="28"/>
              <w:szCs w:val="28"/>
            </w:rPr>
            <w:instrText xml:space="preserve"> PAGEREF _Toc12836 \h </w:instrText>
          </w:r>
          <w:r>
            <w:rPr>
              <w:sz w:val="28"/>
              <w:szCs w:val="28"/>
            </w:rPr>
            <w:fldChar w:fldCharType="separate"/>
          </w:r>
          <w:r>
            <w:rPr>
              <w:sz w:val="28"/>
              <w:szCs w:val="28"/>
            </w:rPr>
            <w:t>- 15 -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22463ED">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_Toc7083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六、成交通知书</w:t>
          </w:r>
          <w:r>
            <w:rPr>
              <w:sz w:val="28"/>
              <w:szCs w:val="28"/>
            </w:rPr>
            <w:tab/>
          </w:r>
          <w:r>
            <w:rPr>
              <w:sz w:val="28"/>
              <w:szCs w:val="28"/>
            </w:rPr>
            <w:fldChar w:fldCharType="begin"/>
          </w:r>
          <w:r>
            <w:rPr>
              <w:sz w:val="28"/>
              <w:szCs w:val="28"/>
            </w:rPr>
            <w:instrText xml:space="preserve"> PAGEREF _Toc7083 \h </w:instrText>
          </w:r>
          <w:r>
            <w:rPr>
              <w:sz w:val="28"/>
              <w:szCs w:val="28"/>
            </w:rPr>
            <w:fldChar w:fldCharType="separate"/>
          </w:r>
          <w:r>
            <w:rPr>
              <w:sz w:val="28"/>
              <w:szCs w:val="28"/>
            </w:rPr>
            <w:t>- 15 -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50F73E0">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_Toc5430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七、比选小组在采购活动中承担的义务</w:t>
          </w:r>
          <w:r>
            <w:rPr>
              <w:sz w:val="28"/>
              <w:szCs w:val="28"/>
            </w:rPr>
            <w:tab/>
          </w:r>
          <w:r>
            <w:rPr>
              <w:sz w:val="28"/>
              <w:szCs w:val="28"/>
            </w:rPr>
            <w:fldChar w:fldCharType="begin"/>
          </w:r>
          <w:r>
            <w:rPr>
              <w:sz w:val="28"/>
              <w:szCs w:val="28"/>
            </w:rPr>
            <w:instrText xml:space="preserve"> PAGEREF _Toc5430 \h </w:instrText>
          </w:r>
          <w:r>
            <w:rPr>
              <w:sz w:val="28"/>
              <w:szCs w:val="28"/>
            </w:rPr>
            <w:fldChar w:fldCharType="separate"/>
          </w:r>
          <w:r>
            <w:rPr>
              <w:sz w:val="28"/>
              <w:szCs w:val="28"/>
            </w:rPr>
            <w:t>- 15 -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CB87EAA">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_Toc12963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sz w:val="28"/>
              <w:szCs w:val="28"/>
              <w:lang w:val="zh-CN"/>
            </w:rPr>
            <w:t>八、评审专家在采购活动中应当遵守的工作纪律</w:t>
          </w:r>
          <w:r>
            <w:rPr>
              <w:sz w:val="28"/>
              <w:szCs w:val="28"/>
            </w:rPr>
            <w:tab/>
          </w:r>
          <w:r>
            <w:rPr>
              <w:sz w:val="28"/>
              <w:szCs w:val="28"/>
            </w:rPr>
            <w:fldChar w:fldCharType="begin"/>
          </w:r>
          <w:r>
            <w:rPr>
              <w:sz w:val="28"/>
              <w:szCs w:val="28"/>
            </w:rPr>
            <w:instrText xml:space="preserve"> PAGEREF _Toc12963 \h </w:instrText>
          </w:r>
          <w:r>
            <w:rPr>
              <w:sz w:val="28"/>
              <w:szCs w:val="28"/>
            </w:rPr>
            <w:fldChar w:fldCharType="separate"/>
          </w:r>
          <w:r>
            <w:rPr>
              <w:sz w:val="28"/>
              <w:szCs w:val="28"/>
            </w:rPr>
            <w:t>- 16 -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616F8A55">
          <w:pPr>
            <w:pStyle w:val="19"/>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_Toc30433 </w:instrText>
          </w:r>
          <w:r>
            <w:rPr>
              <w:rFonts w:hint="eastAsia" w:asciiTheme="minorEastAsia" w:hAnsiTheme="minorEastAsia" w:eastAsiaTheme="minorEastAsia" w:cstheme="minorEastAsia"/>
              <w:bCs/>
              <w:sz w:val="28"/>
              <w:szCs w:val="28"/>
            </w:rPr>
            <w:fldChar w:fldCharType="separate"/>
          </w:r>
          <w:r>
            <w:rPr>
              <w:rFonts w:hint="eastAsia"/>
              <w:sz w:val="28"/>
              <w:szCs w:val="28"/>
              <w:lang w:val="en-US" w:eastAsia="zh-CN"/>
            </w:rPr>
            <w:t>第四章</w:t>
          </w:r>
          <w:r>
            <w:rPr>
              <w:rFonts w:hint="eastAsia"/>
              <w:sz w:val="28"/>
              <w:szCs w:val="28"/>
            </w:rPr>
            <w:t xml:space="preserve"> </w:t>
          </w:r>
          <w:r>
            <w:rPr>
              <w:sz w:val="28"/>
              <w:szCs w:val="28"/>
            </w:rPr>
            <w:t>项目</w:t>
          </w:r>
          <w:r>
            <w:rPr>
              <w:rFonts w:hint="eastAsia"/>
              <w:sz w:val="28"/>
              <w:szCs w:val="28"/>
            </w:rPr>
            <w:t>技术、服务、商务及其他要求</w:t>
          </w:r>
          <w:r>
            <w:rPr>
              <w:sz w:val="28"/>
              <w:szCs w:val="28"/>
            </w:rPr>
            <w:tab/>
          </w:r>
          <w:r>
            <w:rPr>
              <w:sz w:val="28"/>
              <w:szCs w:val="28"/>
            </w:rPr>
            <w:fldChar w:fldCharType="begin"/>
          </w:r>
          <w:r>
            <w:rPr>
              <w:sz w:val="28"/>
              <w:szCs w:val="28"/>
            </w:rPr>
            <w:instrText xml:space="preserve"> PAGEREF _Toc30433 \h </w:instrText>
          </w:r>
          <w:r>
            <w:rPr>
              <w:sz w:val="28"/>
              <w:szCs w:val="28"/>
            </w:rPr>
            <w:fldChar w:fldCharType="separate"/>
          </w:r>
          <w:r>
            <w:rPr>
              <w:sz w:val="28"/>
              <w:szCs w:val="28"/>
            </w:rPr>
            <w:t>- 17 -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43086B88">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_Toc25741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一、</w:t>
          </w:r>
          <w:r>
            <w:rPr>
              <w:rFonts w:hint="eastAsia"/>
              <w:sz w:val="28"/>
              <w:szCs w:val="28"/>
              <w:highlight w:val="none"/>
              <w:lang w:val="zh-CN"/>
            </w:rPr>
            <w:t>项目</w:t>
          </w:r>
          <w:r>
            <w:rPr>
              <w:rFonts w:hint="eastAsia"/>
              <w:sz w:val="28"/>
              <w:szCs w:val="28"/>
              <w:highlight w:val="none"/>
            </w:rPr>
            <w:t>概况</w:t>
          </w:r>
          <w:r>
            <w:rPr>
              <w:sz w:val="28"/>
              <w:szCs w:val="28"/>
            </w:rPr>
            <w:tab/>
          </w:r>
          <w:r>
            <w:rPr>
              <w:sz w:val="28"/>
              <w:szCs w:val="28"/>
            </w:rPr>
            <w:fldChar w:fldCharType="begin"/>
          </w:r>
          <w:r>
            <w:rPr>
              <w:sz w:val="28"/>
              <w:szCs w:val="28"/>
            </w:rPr>
            <w:instrText xml:space="preserve"> PAGEREF _Toc25741 \h </w:instrText>
          </w:r>
          <w:r>
            <w:rPr>
              <w:sz w:val="28"/>
              <w:szCs w:val="28"/>
            </w:rPr>
            <w:fldChar w:fldCharType="separate"/>
          </w:r>
          <w:r>
            <w:rPr>
              <w:sz w:val="28"/>
              <w:szCs w:val="28"/>
            </w:rPr>
            <w:t>- 17 -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574A6E2">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_Toc31877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lang w:val="zh-CN"/>
            </w:rPr>
            <w:t>二、</w:t>
          </w:r>
          <w:r>
            <w:rPr>
              <w:rFonts w:hint="eastAsia"/>
              <w:sz w:val="28"/>
              <w:szCs w:val="28"/>
              <w:highlight w:val="none"/>
            </w:rPr>
            <w:t>服务</w:t>
          </w:r>
          <w:r>
            <w:rPr>
              <w:rFonts w:hint="eastAsia"/>
              <w:sz w:val="28"/>
              <w:szCs w:val="28"/>
              <w:highlight w:val="none"/>
              <w:lang w:val="zh-CN"/>
            </w:rPr>
            <w:t>内容及</w:t>
          </w:r>
          <w:r>
            <w:rPr>
              <w:rFonts w:hint="eastAsia"/>
              <w:sz w:val="28"/>
              <w:szCs w:val="28"/>
              <w:highlight w:val="none"/>
            </w:rPr>
            <w:t>服务要求</w:t>
          </w:r>
          <w:r>
            <w:rPr>
              <w:sz w:val="28"/>
              <w:szCs w:val="28"/>
            </w:rPr>
            <w:tab/>
          </w:r>
          <w:r>
            <w:rPr>
              <w:sz w:val="28"/>
              <w:szCs w:val="28"/>
            </w:rPr>
            <w:fldChar w:fldCharType="begin"/>
          </w:r>
          <w:r>
            <w:rPr>
              <w:sz w:val="28"/>
              <w:szCs w:val="28"/>
            </w:rPr>
            <w:instrText xml:space="preserve"> PAGEREF _Toc31877 \h </w:instrText>
          </w:r>
          <w:r>
            <w:rPr>
              <w:sz w:val="28"/>
              <w:szCs w:val="28"/>
            </w:rPr>
            <w:fldChar w:fldCharType="separate"/>
          </w:r>
          <w:r>
            <w:rPr>
              <w:sz w:val="28"/>
              <w:szCs w:val="28"/>
            </w:rPr>
            <w:t>- 17 -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2CA8C62">
          <w:pPr>
            <w:pStyle w:val="13"/>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_Toc8471 </w:instrText>
          </w:r>
          <w:r>
            <w:rPr>
              <w:rFonts w:hint="eastAsia" w:asciiTheme="minorEastAsia" w:hAnsiTheme="minorEastAsia" w:eastAsiaTheme="minorEastAsia" w:cstheme="minorEastAsia"/>
              <w:bCs/>
              <w:sz w:val="28"/>
              <w:szCs w:val="28"/>
            </w:rPr>
            <w:fldChar w:fldCharType="separate"/>
          </w:r>
          <w:r>
            <w:rPr>
              <w:rFonts w:hint="eastAsia" w:ascii="宋体" w:hAnsi="宋体" w:cs="宋体"/>
              <w:sz w:val="28"/>
              <w:szCs w:val="28"/>
              <w:highlight w:val="none"/>
            </w:rPr>
            <w:t>1、服务</w:t>
          </w:r>
          <w:r>
            <w:rPr>
              <w:rFonts w:hint="eastAsia" w:ascii="宋体" w:hAnsi="宋体" w:cs="宋体"/>
              <w:sz w:val="28"/>
              <w:szCs w:val="28"/>
              <w:highlight w:val="none"/>
              <w:lang w:val="zh-CN"/>
            </w:rPr>
            <w:t>内容</w:t>
          </w:r>
          <w:r>
            <w:rPr>
              <w:sz w:val="28"/>
              <w:szCs w:val="28"/>
            </w:rPr>
            <w:tab/>
          </w:r>
          <w:r>
            <w:rPr>
              <w:sz w:val="28"/>
              <w:szCs w:val="28"/>
            </w:rPr>
            <w:fldChar w:fldCharType="begin"/>
          </w:r>
          <w:r>
            <w:rPr>
              <w:sz w:val="28"/>
              <w:szCs w:val="28"/>
            </w:rPr>
            <w:instrText xml:space="preserve"> PAGEREF _Toc8471 \h </w:instrText>
          </w:r>
          <w:r>
            <w:rPr>
              <w:sz w:val="28"/>
              <w:szCs w:val="28"/>
            </w:rPr>
            <w:fldChar w:fldCharType="separate"/>
          </w:r>
          <w:r>
            <w:rPr>
              <w:sz w:val="28"/>
              <w:szCs w:val="28"/>
            </w:rPr>
            <w:t>- 17 -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5BFF220">
          <w:pPr>
            <w:pStyle w:val="13"/>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_Toc32679 </w:instrText>
          </w:r>
          <w:r>
            <w:rPr>
              <w:rFonts w:hint="eastAsia" w:asciiTheme="minorEastAsia" w:hAnsiTheme="minorEastAsia" w:eastAsiaTheme="minorEastAsia" w:cstheme="minorEastAsia"/>
              <w:bCs/>
              <w:sz w:val="28"/>
              <w:szCs w:val="28"/>
            </w:rPr>
            <w:fldChar w:fldCharType="separate"/>
          </w:r>
          <w:r>
            <w:rPr>
              <w:rFonts w:ascii="宋体" w:hAnsi="宋体" w:eastAsia="宋体" w:cs="宋体"/>
              <w:kern w:val="2"/>
              <w:sz w:val="28"/>
              <w:szCs w:val="28"/>
              <w:highlight w:val="none"/>
              <w:lang w:eastAsia="zh-CN"/>
            </w:rPr>
            <w:t>★</w:t>
          </w:r>
          <w:r>
            <w:rPr>
              <w:rFonts w:hint="eastAsia" w:ascii="宋体" w:hAnsi="宋体" w:cs="宋体"/>
              <w:sz w:val="28"/>
              <w:szCs w:val="28"/>
              <w:highlight w:val="none"/>
            </w:rPr>
            <w:t>2、服务要求</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实质性要求</w:t>
          </w:r>
          <w:r>
            <w:rPr>
              <w:rFonts w:hint="eastAsia" w:ascii="宋体" w:hAnsi="宋体" w:cs="宋体"/>
              <w:sz w:val="28"/>
              <w:szCs w:val="28"/>
              <w:highlight w:val="none"/>
              <w:lang w:eastAsia="zh-CN"/>
            </w:rPr>
            <w:t>）</w:t>
          </w:r>
          <w:r>
            <w:rPr>
              <w:sz w:val="28"/>
              <w:szCs w:val="28"/>
            </w:rPr>
            <w:tab/>
          </w:r>
          <w:r>
            <w:rPr>
              <w:sz w:val="28"/>
              <w:szCs w:val="28"/>
            </w:rPr>
            <w:fldChar w:fldCharType="begin"/>
          </w:r>
          <w:r>
            <w:rPr>
              <w:sz w:val="28"/>
              <w:szCs w:val="28"/>
            </w:rPr>
            <w:instrText xml:space="preserve"> PAGEREF _Toc32679 \h </w:instrText>
          </w:r>
          <w:r>
            <w:rPr>
              <w:sz w:val="28"/>
              <w:szCs w:val="28"/>
            </w:rPr>
            <w:fldChar w:fldCharType="separate"/>
          </w:r>
          <w:r>
            <w:rPr>
              <w:sz w:val="28"/>
              <w:szCs w:val="28"/>
            </w:rPr>
            <w:t>- 17 -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52325FFE">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_Toc2581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三、</w:t>
          </w:r>
          <w:r>
            <w:rPr>
              <w:sz w:val="28"/>
              <w:szCs w:val="28"/>
              <w:highlight w:val="none"/>
            </w:rPr>
            <w:t>商务要求</w:t>
          </w:r>
          <w:r>
            <w:rPr>
              <w:sz w:val="28"/>
              <w:szCs w:val="28"/>
            </w:rPr>
            <w:tab/>
          </w:r>
          <w:r>
            <w:rPr>
              <w:sz w:val="28"/>
              <w:szCs w:val="28"/>
            </w:rPr>
            <w:fldChar w:fldCharType="begin"/>
          </w:r>
          <w:r>
            <w:rPr>
              <w:sz w:val="28"/>
              <w:szCs w:val="28"/>
            </w:rPr>
            <w:instrText xml:space="preserve"> PAGEREF _Toc2581 \h </w:instrText>
          </w:r>
          <w:r>
            <w:rPr>
              <w:sz w:val="28"/>
              <w:szCs w:val="28"/>
            </w:rPr>
            <w:fldChar w:fldCharType="separate"/>
          </w:r>
          <w:r>
            <w:rPr>
              <w:sz w:val="28"/>
              <w:szCs w:val="28"/>
            </w:rPr>
            <w:t>- 23 -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176C359D">
          <w:pPr>
            <w:pStyle w:val="13"/>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_Toc6048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1、</w:t>
          </w:r>
          <w:r>
            <w:rPr>
              <w:sz w:val="28"/>
              <w:szCs w:val="28"/>
              <w:highlight w:val="none"/>
            </w:rPr>
            <w:t>服务期限</w:t>
          </w:r>
          <w:r>
            <w:rPr>
              <w:sz w:val="28"/>
              <w:szCs w:val="28"/>
            </w:rPr>
            <w:tab/>
          </w:r>
          <w:r>
            <w:rPr>
              <w:sz w:val="28"/>
              <w:szCs w:val="28"/>
            </w:rPr>
            <w:fldChar w:fldCharType="begin"/>
          </w:r>
          <w:r>
            <w:rPr>
              <w:sz w:val="28"/>
              <w:szCs w:val="28"/>
            </w:rPr>
            <w:instrText xml:space="preserve"> PAGEREF _Toc6048 \h </w:instrText>
          </w:r>
          <w:r>
            <w:rPr>
              <w:sz w:val="28"/>
              <w:szCs w:val="28"/>
            </w:rPr>
            <w:fldChar w:fldCharType="separate"/>
          </w:r>
          <w:r>
            <w:rPr>
              <w:sz w:val="28"/>
              <w:szCs w:val="28"/>
            </w:rPr>
            <w:t>- 23 -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77627FF2">
          <w:pPr>
            <w:pStyle w:val="13"/>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_Toc19180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2、</w:t>
          </w:r>
          <w:r>
            <w:rPr>
              <w:sz w:val="28"/>
              <w:szCs w:val="28"/>
              <w:highlight w:val="none"/>
            </w:rPr>
            <w:t>服务地点</w:t>
          </w:r>
          <w:r>
            <w:rPr>
              <w:sz w:val="28"/>
              <w:szCs w:val="28"/>
            </w:rPr>
            <w:tab/>
          </w:r>
          <w:r>
            <w:rPr>
              <w:sz w:val="28"/>
              <w:szCs w:val="28"/>
            </w:rPr>
            <w:fldChar w:fldCharType="begin"/>
          </w:r>
          <w:r>
            <w:rPr>
              <w:sz w:val="28"/>
              <w:szCs w:val="28"/>
            </w:rPr>
            <w:instrText xml:space="preserve"> PAGEREF _Toc19180 \h </w:instrText>
          </w:r>
          <w:r>
            <w:rPr>
              <w:sz w:val="28"/>
              <w:szCs w:val="28"/>
            </w:rPr>
            <w:fldChar w:fldCharType="separate"/>
          </w:r>
          <w:r>
            <w:rPr>
              <w:sz w:val="28"/>
              <w:szCs w:val="28"/>
            </w:rPr>
            <w:t>- 23 -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31247202">
          <w:pPr>
            <w:pStyle w:val="13"/>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_Toc13805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3、</w:t>
          </w:r>
          <w:r>
            <w:rPr>
              <w:sz w:val="28"/>
              <w:szCs w:val="28"/>
              <w:highlight w:val="none"/>
            </w:rPr>
            <w:t>支付方式</w:t>
          </w:r>
          <w:r>
            <w:rPr>
              <w:sz w:val="28"/>
              <w:szCs w:val="28"/>
            </w:rPr>
            <w:tab/>
          </w:r>
          <w:r>
            <w:rPr>
              <w:sz w:val="28"/>
              <w:szCs w:val="28"/>
            </w:rPr>
            <w:fldChar w:fldCharType="begin"/>
          </w:r>
          <w:r>
            <w:rPr>
              <w:sz w:val="28"/>
              <w:szCs w:val="28"/>
            </w:rPr>
            <w:instrText xml:space="preserve"> PAGEREF _Toc13805 \h </w:instrText>
          </w:r>
          <w:r>
            <w:rPr>
              <w:sz w:val="28"/>
              <w:szCs w:val="28"/>
            </w:rPr>
            <w:fldChar w:fldCharType="separate"/>
          </w:r>
          <w:r>
            <w:rPr>
              <w:sz w:val="28"/>
              <w:szCs w:val="28"/>
            </w:rPr>
            <w:t>- 23 -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42DD12C3">
          <w:pPr>
            <w:pStyle w:val="20"/>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_Toc23597 </w:instrText>
          </w:r>
          <w:r>
            <w:rPr>
              <w:rFonts w:hint="eastAsia" w:asciiTheme="minorEastAsia" w:hAnsiTheme="minorEastAsia" w:eastAsiaTheme="minorEastAsia" w:cstheme="minorEastAsia"/>
              <w:bCs/>
              <w:sz w:val="28"/>
              <w:szCs w:val="28"/>
            </w:rPr>
            <w:fldChar w:fldCharType="separate"/>
          </w:r>
          <w:r>
            <w:rPr>
              <w:rFonts w:hint="eastAsia"/>
              <w:sz w:val="28"/>
              <w:szCs w:val="28"/>
              <w:highlight w:val="none"/>
            </w:rPr>
            <w:t>四、</w:t>
          </w:r>
          <w:r>
            <w:rPr>
              <w:sz w:val="28"/>
              <w:szCs w:val="28"/>
              <w:highlight w:val="none"/>
            </w:rPr>
            <w:t>其他要求</w:t>
          </w:r>
          <w:r>
            <w:rPr>
              <w:sz w:val="28"/>
              <w:szCs w:val="28"/>
            </w:rPr>
            <w:tab/>
          </w:r>
          <w:r>
            <w:rPr>
              <w:sz w:val="28"/>
              <w:szCs w:val="28"/>
            </w:rPr>
            <w:fldChar w:fldCharType="begin"/>
          </w:r>
          <w:r>
            <w:rPr>
              <w:sz w:val="28"/>
              <w:szCs w:val="28"/>
            </w:rPr>
            <w:instrText xml:space="preserve"> PAGEREF _Toc23597 \h </w:instrText>
          </w:r>
          <w:r>
            <w:rPr>
              <w:sz w:val="28"/>
              <w:szCs w:val="28"/>
            </w:rPr>
            <w:fldChar w:fldCharType="separate"/>
          </w:r>
          <w:r>
            <w:rPr>
              <w:sz w:val="28"/>
              <w:szCs w:val="28"/>
            </w:rPr>
            <w:t>- 23 -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BB4A4A7">
          <w:pPr>
            <w:pStyle w:val="19"/>
            <w:keepNext w:val="0"/>
            <w:keepLines w:val="0"/>
            <w:pageBreakBefore w:val="0"/>
            <w:widowControl w:val="0"/>
            <w:tabs>
              <w:tab w:val="right" w:leader="dot" w:pos="8886"/>
            </w:tabs>
            <w:kinsoku/>
            <w:wordWrap/>
            <w:overflowPunct/>
            <w:topLinePunct w:val="0"/>
            <w:autoSpaceDE/>
            <w:autoSpaceDN/>
            <w:bidi w:val="0"/>
            <w:adjustRightInd/>
            <w:snapToGrid/>
            <w:spacing w:line="580" w:lineRule="exact"/>
            <w:ind w:left="0" w:leftChars="0"/>
            <w:textAlignment w:val="auto"/>
            <w:rPr>
              <w:rFonts w:ascii="仿宋" w:hAnsi="仿宋" w:eastAsia="仿宋" w:cs="仿宋"/>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_Toc4566 </w:instrText>
          </w:r>
          <w:r>
            <w:rPr>
              <w:rFonts w:hint="eastAsia" w:asciiTheme="minorEastAsia" w:hAnsiTheme="minorEastAsia" w:eastAsiaTheme="minorEastAsia" w:cstheme="minorEastAsia"/>
              <w:bCs/>
              <w:sz w:val="28"/>
              <w:szCs w:val="28"/>
            </w:rPr>
            <w:fldChar w:fldCharType="separate"/>
          </w:r>
          <w:r>
            <w:rPr>
              <w:rFonts w:hint="eastAsia"/>
              <w:sz w:val="28"/>
              <w:szCs w:val="28"/>
              <w:lang w:val="en-US" w:eastAsia="zh-CN"/>
            </w:rPr>
            <w:t>第五章 比选申请文件格式</w:t>
          </w:r>
          <w:r>
            <w:rPr>
              <w:sz w:val="28"/>
              <w:szCs w:val="28"/>
            </w:rPr>
            <w:tab/>
          </w:r>
          <w:r>
            <w:rPr>
              <w:sz w:val="28"/>
              <w:szCs w:val="28"/>
            </w:rPr>
            <w:fldChar w:fldCharType="begin"/>
          </w:r>
          <w:r>
            <w:rPr>
              <w:sz w:val="28"/>
              <w:szCs w:val="28"/>
            </w:rPr>
            <w:instrText xml:space="preserve"> PAGEREF _Toc4566 \h </w:instrText>
          </w:r>
          <w:r>
            <w:rPr>
              <w:sz w:val="28"/>
              <w:szCs w:val="28"/>
            </w:rPr>
            <w:fldChar w:fldCharType="separate"/>
          </w:r>
          <w:r>
            <w:rPr>
              <w:sz w:val="28"/>
              <w:szCs w:val="28"/>
            </w:rPr>
            <w:t>- 24 -</w:t>
          </w:r>
          <w:r>
            <w:rPr>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r>
            <w:rPr>
              <w:rFonts w:hint="eastAsia" w:asciiTheme="minorEastAsia" w:hAnsiTheme="minorEastAsia" w:eastAsiaTheme="minorEastAsia" w:cstheme="minorEastAsia"/>
              <w:bCs/>
              <w:color w:val="000000" w:themeColor="text1"/>
              <w:szCs w:val="24"/>
              <w14:textFill>
                <w14:solidFill>
                  <w14:schemeClr w14:val="tx1"/>
                </w14:solidFill>
              </w14:textFill>
            </w:rPr>
            <w:fldChar w:fldCharType="end"/>
          </w:r>
        </w:p>
      </w:sdtContent>
    </w:sdt>
    <w:p w14:paraId="492DE386">
      <w:pPr>
        <w:pStyle w:val="22"/>
        <w:jc w:val="both"/>
        <w:sectPr>
          <w:footerReference r:id="rId3" w:type="default"/>
          <w:pgSz w:w="11906" w:h="16838"/>
          <w:pgMar w:top="1270" w:right="1274" w:bottom="1276" w:left="1746" w:header="851" w:footer="822" w:gutter="0"/>
          <w:pgNumType w:fmt="numberInDash" w:start="1"/>
          <w:cols w:space="0" w:num="1"/>
          <w:docGrid w:type="lines" w:linePitch="312" w:charSpace="0"/>
        </w:sectPr>
      </w:pPr>
    </w:p>
    <w:p w14:paraId="2865247A">
      <w:pPr>
        <w:pStyle w:val="22"/>
        <w:rPr>
          <w:rFonts w:hint="eastAsia" w:ascii="方正小标宋简体" w:hAnsi="方正小标宋简体" w:eastAsia="方正小标宋简体" w:cs="方正小标宋简体"/>
          <w:b w:val="0"/>
          <w:bCs w:val="0"/>
        </w:rPr>
      </w:pPr>
      <w:bookmarkStart w:id="14" w:name="_Toc7630"/>
      <w:r>
        <w:rPr>
          <w:rFonts w:hint="eastAsia" w:ascii="方正小标宋简体" w:hAnsi="方正小标宋简体" w:eastAsia="方正小标宋简体" w:cs="方正小标宋简体"/>
          <w:b w:val="0"/>
          <w:bCs w:val="0"/>
        </w:rPr>
        <w:t>第一章 比选邀请书</w:t>
      </w:r>
      <w:bookmarkEnd w:id="14"/>
    </w:p>
    <w:p w14:paraId="36A6C867">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14:textFill>
            <w14:solidFill>
              <w14:schemeClr w14:val="tx1"/>
            </w14:solidFill>
          </w14:textFill>
        </w:rPr>
        <w:t>病房劳务服务临时采购项目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14:paraId="05A1BE62">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一、项目概况</w:t>
      </w:r>
    </w:p>
    <w:p w14:paraId="60CE9884">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0826EEB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hint="eastAsia" w:asciiTheme="minorEastAsia" w:hAnsiTheme="minorEastAsia"/>
          <w:color w:val="000000" w:themeColor="text1"/>
          <w:sz w:val="28"/>
          <w:szCs w:val="28"/>
          <w:u w:val="single"/>
          <w14:textFill>
            <w14:solidFill>
              <w14:schemeClr w14:val="tx1"/>
            </w14:solidFill>
          </w14:textFill>
        </w:rPr>
        <w:t>28</w:t>
      </w:r>
      <w:r>
        <w:rPr>
          <w:rFonts w:asciiTheme="minorEastAsia" w:hAnsiTheme="minorEastAsia"/>
          <w:color w:val="000000" w:themeColor="text1"/>
          <w:sz w:val="28"/>
          <w:szCs w:val="28"/>
          <w14:textFill>
            <w14:solidFill>
              <w14:schemeClr w14:val="tx1"/>
            </w14:solidFill>
          </w14:textFill>
        </w:rPr>
        <w:t>号</w:t>
      </w:r>
    </w:p>
    <w:p w14:paraId="00BAD84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14:textFill>
            <w14:solidFill>
              <w14:schemeClr w14:val="tx1"/>
            </w14:solidFill>
          </w14:textFill>
        </w:rPr>
        <w:t>病房劳务服务临时采购项目</w:t>
      </w:r>
    </w:p>
    <w:p w14:paraId="2907DF0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14:paraId="7022F12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highlight w:val="none"/>
          <w14:textFill>
            <w14:solidFill>
              <w14:schemeClr w14:val="tx1"/>
            </w14:solidFill>
          </w14:textFill>
        </w:rPr>
        <w:t>14.3178万元</w:t>
      </w:r>
    </w:p>
    <w:p w14:paraId="1E4622C3">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二、比选申请人资格要求</w:t>
      </w:r>
    </w:p>
    <w:p w14:paraId="5A2D1C69">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14:paraId="407172C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14:paraId="27BCBAA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14:paraId="3252625A">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14:paraId="5C27618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14:paraId="183BF3D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7DBBFFF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5E9E07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683BE1E9">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w:t>
      </w:r>
    </w:p>
    <w:p w14:paraId="347E601B">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w:t>
      </w:r>
    </w:p>
    <w:p w14:paraId="14E5DCE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w:t>
      </w:r>
      <w:r>
        <w:rPr>
          <w:rFonts w:hint="eastAsia" w:asciiTheme="minorEastAsia" w:hAnsiTheme="minorEastAsia"/>
          <w:color w:val="000000" w:themeColor="text1"/>
          <w:sz w:val="28"/>
          <w:szCs w:val="28"/>
          <w14:textFill>
            <w14:solidFill>
              <w14:schemeClr w14:val="tx1"/>
            </w14:solidFill>
          </w14:textFill>
        </w:rPr>
        <w:t>证</w:t>
      </w:r>
      <w:r>
        <w:rPr>
          <w:rFonts w:asciiTheme="minorEastAsia" w:hAnsiTheme="minorEastAsia"/>
          <w:color w:val="000000" w:themeColor="text1"/>
          <w:sz w:val="28"/>
          <w:szCs w:val="28"/>
          <w14:textFill>
            <w14:solidFill>
              <w14:schemeClr w14:val="tx1"/>
            </w14:solidFill>
          </w14:textFill>
        </w:rPr>
        <w:t>复印件</w:t>
      </w:r>
    </w:p>
    <w:p w14:paraId="70A369FE">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三、比选文件获取</w:t>
      </w:r>
    </w:p>
    <w:p w14:paraId="57EBE3A3">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14:paraId="16A7E2CB">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四、比选申请文件递交方式及截止时间</w:t>
      </w:r>
    </w:p>
    <w:p w14:paraId="4A1F0D4B">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14:paraId="44FCDB3E">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highlight w:val="none"/>
        </w:rPr>
        <w:t>4</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11</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6</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bookmarkStart w:id="65" w:name="_GoBack"/>
      <w:bookmarkEnd w:id="65"/>
      <w:r>
        <w:rPr>
          <w:rFonts w:hint="eastAsia" w:ascii="宋体" w:hAnsi="宋体" w:cs="宋体"/>
          <w:sz w:val="28"/>
          <w:szCs w:val="28"/>
        </w:rPr>
        <w:t>（北京时间）。</w:t>
      </w:r>
    </w:p>
    <w:p w14:paraId="4557CB92">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五、开标及结果公示</w:t>
      </w:r>
    </w:p>
    <w:p w14:paraId="7CF6597F">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14:paraId="3188C169">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14:paraId="5E22A5C3">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六、联系方式</w:t>
      </w:r>
    </w:p>
    <w:p w14:paraId="42AA0B1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61EE0EEF">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14:paraId="1CC3965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w:t>
      </w:r>
      <w:r>
        <w:rPr>
          <w:rFonts w:hint="eastAsia" w:asciiTheme="minorEastAsia" w:hAnsiTheme="minorEastAsia"/>
          <w:color w:val="000000" w:themeColor="text1"/>
          <w:sz w:val="28"/>
          <w:szCs w:val="28"/>
          <w14:textFill>
            <w14:solidFill>
              <w14:schemeClr w14:val="tx1"/>
            </w14:solidFill>
          </w14:textFill>
        </w:rPr>
        <w:t>招标采购管理办公室（达州市万源市古东关街道春坪巷7号）</w:t>
      </w:r>
    </w:p>
    <w:p w14:paraId="521B6EB3">
      <w:pPr>
        <w:widowControl/>
        <w:jc w:val="left"/>
      </w:pPr>
      <w:r>
        <w:br w:type="page"/>
      </w:r>
    </w:p>
    <w:p w14:paraId="37B6832E">
      <w:pPr>
        <w:pStyle w:val="22"/>
      </w:pPr>
      <w:bookmarkStart w:id="15" w:name="_Toc25816"/>
      <w:r>
        <w:rPr>
          <w:rFonts w:hint="eastAsia" w:ascii="方正小标宋简体" w:hAnsi="方正小标宋简体" w:eastAsia="方正小标宋简体" w:cs="方正小标宋简体"/>
          <w:b w:val="0"/>
          <w:bCs w:val="0"/>
        </w:rPr>
        <w:t>第二章 比选申请人须知</w:t>
      </w:r>
      <w:bookmarkEnd w:id="15"/>
    </w:p>
    <w:p w14:paraId="49E9547D">
      <w:pPr>
        <w:spacing w:line="360" w:lineRule="auto"/>
        <w:ind w:firstLine="480" w:firstLineChars="200"/>
        <w:rPr>
          <w:rFonts w:ascii="Times New Roman" w:hAnsi="Times New Roman"/>
          <w:color w:val="000000" w:themeColor="text1"/>
          <w:sz w:val="24"/>
          <w14:textFill>
            <w14:solidFill>
              <w14:schemeClr w14:val="tx1"/>
            </w14:solidFill>
          </w14:textFill>
        </w:rPr>
      </w:pPr>
    </w:p>
    <w:p w14:paraId="7A4B50CF">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一、项目名称</w:t>
      </w:r>
    </w:p>
    <w:p w14:paraId="2D1F2386">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病房劳务服务临时采购项目</w:t>
      </w:r>
      <w:r>
        <w:rPr>
          <w:rFonts w:ascii="宋体" w:hAnsi="宋体"/>
          <w:color w:val="000000" w:themeColor="text1"/>
          <w:sz w:val="28"/>
          <w:szCs w:val="28"/>
          <w14:textFill>
            <w14:solidFill>
              <w14:schemeClr w14:val="tx1"/>
            </w14:solidFill>
          </w14:textFill>
        </w:rPr>
        <w:t>。</w:t>
      </w:r>
    </w:p>
    <w:p w14:paraId="7A776DB9">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二、比选内容</w:t>
      </w:r>
    </w:p>
    <w:p w14:paraId="753980FB">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Theme="minorEastAsia" w:hAnsiTheme="minorEastAsia"/>
          <w:color w:val="000000" w:themeColor="text1"/>
          <w:sz w:val="28"/>
          <w:szCs w:val="28"/>
          <w14:textFill>
            <w14:solidFill>
              <w14:schemeClr w14:val="tx1"/>
            </w14:solidFill>
          </w14:textFill>
        </w:rPr>
        <w:t>病房劳务服务临时采购项目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14:paraId="7E714781">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三、比选申请人资格要求、相关证明材料要求（本项中所要求提供的证明材料均须加盖比选申请人公章，否则将视为无效证明材料）</w:t>
      </w:r>
    </w:p>
    <w:p w14:paraId="620C05D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411A998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14:textFill>
            <w14:solidFill>
              <w14:schemeClr w14:val="tx1"/>
            </w14:solidFill>
          </w14:textFill>
        </w:rPr>
        <w:t>或2023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14:textFill>
            <w14:solidFill>
              <w14:schemeClr w14:val="tx1"/>
            </w14:solidFill>
          </w14:textFill>
        </w:rPr>
        <w:t>或2023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14:paraId="095020C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14:paraId="375D178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14:paraId="721EC4C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14:paraId="6AAEF8B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3CBD249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2A5ABCA4">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7518307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1、本项目不允许联合体参加（提供承诺函）。</w:t>
      </w:r>
    </w:p>
    <w:p w14:paraId="7D1C809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2、本项目不允许合同分包（提供承诺函）。</w:t>
      </w:r>
    </w:p>
    <w:p w14:paraId="4409A1C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14:paraId="00DA13CB">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四、本项目比选评审方式：</w:t>
      </w:r>
      <w:r>
        <w:rPr>
          <w:rFonts w:hint="eastAsia" w:eastAsia="宋体" w:cs="Times New Roman" w:asciiTheme="minorEastAsia" w:hAnsiTheme="minorEastAsia"/>
          <w:b w:val="0"/>
          <w:bCs w:val="0"/>
          <w:color w:val="000000" w:themeColor="text1"/>
          <w:kern w:val="2"/>
          <w:sz w:val="28"/>
          <w:szCs w:val="28"/>
          <w:lang w:val="zh-CN" w:eastAsia="zh-CN" w:bidi="ar-SA"/>
          <w14:textFill>
            <w14:solidFill>
              <w14:schemeClr w14:val="tx1"/>
            </w14:solidFill>
          </w14:textFill>
        </w:rPr>
        <w:t>综合评分法。</w:t>
      </w:r>
    </w:p>
    <w:p w14:paraId="06D0FD82">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五、比选文件的组成(若本文件未提供格式的可格式自拟)</w:t>
      </w:r>
    </w:p>
    <w:p w14:paraId="6778972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14:paraId="4BD7D15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14:textFill>
            <w14:solidFill>
              <w14:schemeClr w14:val="tx1"/>
            </w14:solidFill>
          </w14:textFill>
        </w:rPr>
        <w:t>承诺函</w:t>
      </w:r>
    </w:p>
    <w:p w14:paraId="7BA5DAE1">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（三）廉政承诺书</w:t>
      </w:r>
    </w:p>
    <w:p w14:paraId="496816CD">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（四）法定代表人身份证明</w:t>
      </w:r>
    </w:p>
    <w:p w14:paraId="5E8FFB6A">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（五）法定代表人授权委托书</w:t>
      </w:r>
    </w:p>
    <w:p w14:paraId="50DAB9E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资格证明材料</w:t>
      </w:r>
    </w:p>
    <w:p w14:paraId="22DAD1D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七</w:t>
      </w:r>
      <w:r>
        <w:rPr>
          <w:rFonts w:ascii="宋体" w:hAnsi="宋体"/>
          <w:color w:val="000000" w:themeColor="text1"/>
          <w:sz w:val="28"/>
          <w:szCs w:val="28"/>
          <w14:textFill>
            <w14:solidFill>
              <w14:schemeClr w14:val="tx1"/>
            </w14:solidFill>
          </w14:textFill>
        </w:rPr>
        <w:t>）比选申请人基本情况表</w:t>
      </w:r>
    </w:p>
    <w:p w14:paraId="2C6C8C0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14:paraId="470E6E9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服务要求应答表</w:t>
      </w:r>
    </w:p>
    <w:p w14:paraId="5A34695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14:paraId="18A7FC1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14:paraId="68536E7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十二</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14:paraId="7F9FD830">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（十三）</w:t>
      </w:r>
      <w:r>
        <w:rPr>
          <w:rFonts w:ascii="宋体" w:hAnsi="宋体"/>
          <w:color w:val="000000" w:themeColor="text1"/>
          <w:sz w:val="28"/>
          <w:szCs w:val="28"/>
          <w14:textFill>
            <w14:solidFill>
              <w14:schemeClr w14:val="tx1"/>
            </w14:solidFill>
          </w14:textFill>
        </w:rPr>
        <w:t>其它资料（若有）</w:t>
      </w:r>
    </w:p>
    <w:p w14:paraId="4F2E56E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14:paraId="4B56FE3C">
      <w:pPr>
        <w:numPr>
          <w:ilvl w:val="0"/>
          <w:numId w:val="1"/>
        </w:numPr>
        <w:spacing w:line="580" w:lineRule="exact"/>
        <w:ind w:firstLine="560" w:firstLineChars="200"/>
        <w:rPr>
          <w:rFonts w:hint="eastAsia" w:ascii="黑体" w:hAnsi="黑体" w:eastAsia="黑体" w:cs="黑体"/>
          <w:b w:val="0"/>
          <w:bCs w:val="0"/>
          <w:kern w:val="2"/>
          <w:sz w:val="28"/>
          <w:szCs w:val="28"/>
          <w:lang w:val="zh-CN" w:eastAsia="zh-CN" w:bidi="ar-SA"/>
        </w:rPr>
      </w:pPr>
      <w:r>
        <w:rPr>
          <w:rFonts w:hint="eastAsia" w:ascii="黑体" w:hAnsi="黑体" w:eastAsia="黑体" w:cs="黑体"/>
          <w:b w:val="0"/>
          <w:bCs w:val="0"/>
          <w:kern w:val="2"/>
          <w:sz w:val="28"/>
          <w:szCs w:val="28"/>
          <w:lang w:val="zh-CN" w:eastAsia="zh-CN" w:bidi="ar-SA"/>
        </w:rPr>
        <w:t>比选申请文件有效期（实质性要求）</w:t>
      </w:r>
    </w:p>
    <w:p w14:paraId="122E5F4D">
      <w:pPr>
        <w:numPr>
          <w:ilvl w:val="0"/>
          <w:numId w:val="0"/>
        </w:num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从递交比选申请文件的截止日期起120日历天。</w:t>
      </w:r>
    </w:p>
    <w:p w14:paraId="24A8FCFF">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16" w:name="_Toc123843528"/>
      <w:r>
        <w:rPr>
          <w:rFonts w:hint="eastAsia" w:ascii="黑体" w:hAnsi="黑体" w:eastAsia="黑体" w:cs="黑体"/>
          <w:b w:val="0"/>
          <w:bCs w:val="0"/>
          <w:sz w:val="28"/>
          <w:szCs w:val="28"/>
          <w:lang w:val="zh-CN"/>
        </w:rPr>
        <w:t>七、比选申请文件的密封和递交</w:t>
      </w:r>
      <w:bookmarkEnd w:id="16"/>
    </w:p>
    <w:p w14:paraId="70C474C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14:paraId="1485184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14:paraId="77082E5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14:paraId="65CB3F1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14:paraId="32CCBC41">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14:paraId="1B686B2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14:paraId="1D1D98C1">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14:paraId="6DFA813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14:paraId="0D19163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00B9013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14:paraId="753B29A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14:paraId="0691605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14:paraId="0A50B5F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143D847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14:paraId="5C3841D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14:paraId="129CD7D6">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八、比选程序</w:t>
      </w:r>
    </w:p>
    <w:p w14:paraId="61C3EEA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14:paraId="6CD4F7E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14:paraId="4DC1DE8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14:paraId="0B333EEE">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r>
        <w:rPr>
          <w:rFonts w:hint="eastAsia" w:ascii="黑体" w:hAnsi="黑体" w:eastAsia="黑体" w:cs="黑体"/>
          <w:b w:val="0"/>
          <w:bCs w:val="0"/>
          <w:sz w:val="28"/>
          <w:szCs w:val="28"/>
          <w:lang w:val="zh-CN"/>
        </w:rPr>
        <w:t>九、评审办法参照本比选文件第三章内容。</w:t>
      </w:r>
    </w:p>
    <w:p w14:paraId="2B85CE55">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hint="eastAsia" w:ascii="黑体" w:hAnsi="黑体" w:eastAsia="黑体" w:cs="黑体"/>
          <w:b w:val="0"/>
          <w:bCs w:val="0"/>
          <w:kern w:val="2"/>
          <w:sz w:val="28"/>
          <w:szCs w:val="28"/>
          <w:lang w:val="zh-CN" w:eastAsia="zh-CN" w:bidi="ar-SA"/>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14:paraId="0DADC734">
      <w:pPr>
        <w:rPr>
          <w:rFonts w:ascii="Times New Roman" w:hAnsi="Times New Roman"/>
          <w:color w:val="000000" w:themeColor="text1"/>
          <w:sz w:val="24"/>
          <w14:textFill>
            <w14:solidFill>
              <w14:schemeClr w14:val="tx1"/>
            </w14:solidFill>
          </w14:textFill>
        </w:rPr>
      </w:pPr>
    </w:p>
    <w:p w14:paraId="298F9773">
      <w:pPr>
        <w:pStyle w:val="22"/>
        <w:spacing w:before="93" w:beforeLines="30" w:after="0" w:line="578" w:lineRule="exact"/>
        <w:rPr>
          <w:rFonts w:ascii="黑体" w:hAnsi="黑体" w:eastAsia="黑体" w:cs="黑体"/>
          <w:b w:val="0"/>
          <w:bCs w:val="0"/>
          <w:color w:val="000000"/>
          <w:lang w:val="zh-CN"/>
        </w:rPr>
      </w:pPr>
      <w:r>
        <w:rPr>
          <w:rFonts w:ascii="Times New Roman" w:hAnsi="Times New Roman" w:cs="Times New Roman"/>
          <w:sz w:val="24"/>
        </w:rPr>
        <w:br w:type="page"/>
      </w:r>
      <w:bookmarkStart w:id="17" w:name="_Toc2329"/>
      <w:bookmarkStart w:id="18" w:name="_Toc3016"/>
      <w:r>
        <w:rPr>
          <w:rFonts w:hint="eastAsia" w:ascii="方正小标宋简体" w:hAnsi="方正小标宋简体" w:eastAsia="方正小标宋简体" w:cs="方正小标宋简体"/>
          <w:b w:val="0"/>
          <w:bCs w:val="0"/>
        </w:rPr>
        <w:t>第三章 评审办法</w:t>
      </w:r>
      <w:bookmarkEnd w:id="17"/>
      <w:bookmarkEnd w:id="18"/>
    </w:p>
    <w:p w14:paraId="2218A994">
      <w:pPr>
        <w:pStyle w:val="9"/>
        <w:spacing w:before="93" w:beforeLines="30" w:after="0" w:line="578" w:lineRule="exact"/>
        <w:ind w:firstLine="640" w:firstLineChars="200"/>
        <w:rPr>
          <w:rFonts w:ascii="黑体" w:hAnsi="黑体" w:eastAsia="黑体" w:cs="黑体"/>
          <w:color w:val="000000"/>
          <w:sz w:val="32"/>
          <w:szCs w:val="32"/>
          <w:lang w:val="zh-CN"/>
        </w:rPr>
      </w:pPr>
    </w:p>
    <w:p w14:paraId="19EF8257">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19" w:name="_Toc19688"/>
      <w:r>
        <w:rPr>
          <w:rFonts w:hint="eastAsia" w:ascii="黑体" w:hAnsi="黑体" w:eastAsia="黑体" w:cs="黑体"/>
          <w:b w:val="0"/>
          <w:bCs w:val="0"/>
          <w:sz w:val="28"/>
          <w:szCs w:val="28"/>
          <w:lang w:val="zh-CN"/>
        </w:rPr>
        <w:t>一、总则</w:t>
      </w:r>
      <w:bookmarkEnd w:id="19"/>
    </w:p>
    <w:p w14:paraId="4618A78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（一）比选小组在评审过程中，应当按照相关法律法规的规定履行职责和义务，不得违法评审、违反评审工作纪律。</w:t>
      </w:r>
    </w:p>
    <w:p w14:paraId="7E778AA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（二）评标组织</w:t>
      </w:r>
    </w:p>
    <w:p w14:paraId="116754A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1、本项目比选小组由采购人组织。</w:t>
      </w:r>
    </w:p>
    <w:p w14:paraId="0BB8176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2、评标、决标全过程由监督代表监督。</w:t>
      </w:r>
    </w:p>
    <w:p w14:paraId="7DD9937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（三）比选工作应遵循公平、公正、科学及择优的原则，并以相同的比选程序和标准对待所有的供应商。</w:t>
      </w:r>
    </w:p>
    <w:p w14:paraId="3943972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（四）比选小组按照比选文件规定的比选方法和标准进行比选，并独立履行下列职责：</w:t>
      </w:r>
    </w:p>
    <w:p w14:paraId="550A1E4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1、熟悉和理解比选文件，确定比选文件内容是否违反国家有关强制性规定或者比选文件存在歧义、重大缺陷；</w:t>
      </w:r>
    </w:p>
    <w:p w14:paraId="4753165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2、审查供应商响应文件是否满足比选文件要求，并作出公正评价；</w:t>
      </w:r>
    </w:p>
    <w:p w14:paraId="7269B15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3、根据需要要求供应商对比选文件有关事项作出澄清、说明或者纠正；</w:t>
      </w:r>
    </w:p>
    <w:p w14:paraId="5B77CABA">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4、推荐成交供应商，或者受采购人委托确定成交供应商；</w:t>
      </w:r>
    </w:p>
    <w:p w14:paraId="12BC90FA">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5、起草评审报告并进行签署；</w:t>
      </w:r>
    </w:p>
    <w:p w14:paraId="0D7FBE90">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6、向采购人报告非法干预评审工作的行为；</w:t>
      </w:r>
    </w:p>
    <w:p w14:paraId="5A88D13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7、法律、法规和规章规定的其他职责。</w:t>
      </w:r>
    </w:p>
    <w:p w14:paraId="3C51338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（五）（实质性要求）比选过程独立、保密。供应商非法干预比选过程的，其响应文件作为无效处理。</w:t>
      </w:r>
    </w:p>
    <w:p w14:paraId="72C412F4">
      <w:pPr>
        <w:pStyle w:val="9"/>
        <w:pageBreakBefore w:val="0"/>
        <w:widowControl w:val="0"/>
        <w:kinsoku/>
        <w:wordWrap/>
        <w:overflowPunct/>
        <w:topLinePunct w:val="0"/>
        <w:autoSpaceDE/>
        <w:autoSpaceDN/>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（六）比选小组评价响应文件，除比选小组要求其澄清、说明或者纠正而提供的资料外，仅依据响应文件本身的内容，不寻求供应商提供其他外部证据。</w:t>
      </w:r>
    </w:p>
    <w:p w14:paraId="5E59D771">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0" w:name="_Toc22967"/>
      <w:r>
        <w:rPr>
          <w:rFonts w:hint="eastAsia" w:ascii="黑体" w:hAnsi="黑体" w:eastAsia="黑体" w:cs="黑体"/>
          <w:b w:val="0"/>
          <w:bCs w:val="0"/>
          <w:sz w:val="28"/>
          <w:szCs w:val="28"/>
          <w:lang w:val="zh-CN"/>
        </w:rPr>
        <w:t>二、评审程序</w:t>
      </w:r>
      <w:bookmarkEnd w:id="20"/>
    </w:p>
    <w:p w14:paraId="6785C057">
      <w:pPr>
        <w:pStyle w:val="9"/>
        <w:pageBreakBefore w:val="0"/>
        <w:widowControl w:val="0"/>
        <w:kinsoku/>
        <w:wordWrap/>
        <w:overflowPunct/>
        <w:topLinePunct w:val="0"/>
        <w:autoSpaceDE/>
        <w:autoSpaceDN/>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（一）熟悉和理解比选文件和停止评审</w:t>
      </w:r>
    </w:p>
    <w:p w14:paraId="6CA35DA6">
      <w:pPr>
        <w:pStyle w:val="9"/>
        <w:pageBreakBefore w:val="0"/>
        <w:widowControl w:val="0"/>
        <w:kinsoku/>
        <w:wordWrap/>
        <w:overflowPunct/>
        <w:topLinePunct w:val="0"/>
        <w:autoSpaceDE/>
        <w:autoSpaceDN/>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1.比选小组正式评审前，应当对比选文件进行熟悉和理解，内容主要包括比选文件中供应商资格条件要求、采购项目技术、服务和商务要求、评审方法和标准、采购政策要求等。</w:t>
      </w:r>
    </w:p>
    <w:p w14:paraId="60AF6E59">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2.本比选文件有下列情形之一的，比选小组应当停止评审：</w:t>
      </w:r>
    </w:p>
    <w:p w14:paraId="330F667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（1）</w:t>
      </w:r>
      <w:r>
        <w:rPr>
          <w:rFonts w:hint="eastAsia" w:asciiTheme="minorEastAsia" w:hAnsiTheme="minorEastAsia" w:eastAsiaTheme="minorEastAsia" w:cstheme="minorEastAsia"/>
          <w:color w:val="000000"/>
          <w:sz w:val="28"/>
          <w:szCs w:val="28"/>
        </w:rPr>
        <w:t>比选文件的规定存在歧义、重大缺陷的；</w:t>
      </w:r>
    </w:p>
    <w:p w14:paraId="1BF8F9C1">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（2）</w:t>
      </w:r>
      <w:r>
        <w:rPr>
          <w:rFonts w:hint="eastAsia" w:asciiTheme="minorEastAsia" w:hAnsiTheme="minorEastAsia" w:eastAsiaTheme="minorEastAsia" w:cstheme="minorEastAsia"/>
          <w:color w:val="000000"/>
          <w:sz w:val="28"/>
          <w:szCs w:val="28"/>
        </w:rPr>
        <w:t>比选文件明显以不合理条件对供应商实行差别待遇或者歧视待遇的；</w:t>
      </w:r>
    </w:p>
    <w:p w14:paraId="1F25170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（3）</w:t>
      </w:r>
      <w:r>
        <w:rPr>
          <w:rFonts w:hint="eastAsia" w:asciiTheme="minorEastAsia" w:hAnsiTheme="minorEastAsia" w:eastAsiaTheme="minorEastAsia" w:cstheme="minorEastAsia"/>
          <w:color w:val="000000"/>
          <w:sz w:val="28"/>
          <w:szCs w:val="28"/>
        </w:rPr>
        <w:t>比选文件载明的成交原则不合法的；</w:t>
      </w:r>
    </w:p>
    <w:p w14:paraId="310015B4">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（4）</w:t>
      </w:r>
      <w:r>
        <w:rPr>
          <w:rFonts w:hint="eastAsia" w:asciiTheme="minorEastAsia" w:hAnsiTheme="minorEastAsia" w:eastAsiaTheme="minorEastAsia" w:cstheme="minorEastAsia"/>
          <w:color w:val="000000"/>
          <w:sz w:val="28"/>
          <w:szCs w:val="28"/>
        </w:rPr>
        <w:t>比选文件有违反国家其他有关强制性规定的情形。</w:t>
      </w:r>
    </w:p>
    <w:p w14:paraId="7A5592E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3.出现上述第2条规定应当停止评审情形的，比选小组应当向采购人书面说明情况。除本条规定的情形外，比选小组不得以任何方式和理由停止评审。</w:t>
      </w:r>
    </w:p>
    <w:p w14:paraId="4D6F09C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4.比选小组不得以下列情形对供应商响应文件作无效处理：</w:t>
      </w:r>
    </w:p>
    <w:p w14:paraId="4B82AF3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（1）响应文件装订、纸张、文件排序、编目编码等非实质性的格式、形式问题。</w:t>
      </w:r>
    </w:p>
    <w:p w14:paraId="455CA83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（2）供应商响应文件格式不符合采购文件所述的响应文件格式要求。</w:t>
      </w:r>
    </w:p>
    <w:p w14:paraId="2527BD43">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（二）资格性审查</w:t>
      </w:r>
    </w:p>
    <w:p w14:paraId="1559AB2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1.比选小组应依据法律法规和比选文件的规定，对响应文件是否按照规定要求提供资格性证明材料、是否属于禁止参加比选的供应商等进行审查，以确定供应商是否具备比选资格。</w:t>
      </w:r>
    </w:p>
    <w:p w14:paraId="14EB4F00">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2.资格性审查结束后，比选小组应当出具资格性审查报告，没有通过资格审查的供应商，比选小组应当在资格审查报告中说明原因。</w:t>
      </w:r>
    </w:p>
    <w:p w14:paraId="14B51F6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3.比选小组应依据比选文件规定的所有实质性要求，对符合资格的响应文件进行有效性、完整性和响应程度审查，以确定参加比选的供应商名单。</w:t>
      </w:r>
    </w:p>
    <w:p w14:paraId="7C55495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未通过资格性审查的供应商或其响应文件有效性、完整性和响应不符合的，比选小组应填写供应商淘汰表，写明未通过的原因，并由供应商签字确认，供应商拒绝签字的，比选小组应注明情况并经监督人员签字确认。</w:t>
      </w:r>
    </w:p>
    <w:p w14:paraId="1B4875B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5.通过资格性审查和符合性响应审查的供应商不足 3 家的，终止本次采购活动，并发布终止采购活动公告。</w:t>
      </w:r>
    </w:p>
    <w:p w14:paraId="27FBB623">
      <w:pPr>
        <w:pStyle w:val="9"/>
        <w:spacing w:before="93" w:beforeLines="30" w:after="0" w:line="578"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16D80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688F48B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序号</w:t>
            </w:r>
          </w:p>
        </w:tc>
        <w:tc>
          <w:tcPr>
            <w:tcW w:w="4597" w:type="dxa"/>
            <w:vAlign w:val="center"/>
          </w:tcPr>
          <w:p w14:paraId="25E90395">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审查内容</w:t>
            </w:r>
          </w:p>
        </w:tc>
        <w:tc>
          <w:tcPr>
            <w:tcW w:w="2835" w:type="dxa"/>
            <w:vAlign w:val="center"/>
          </w:tcPr>
          <w:p w14:paraId="3FCB025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审核结果</w:t>
            </w:r>
          </w:p>
        </w:tc>
      </w:tr>
      <w:tr w14:paraId="07498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FA5F115">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c>
          <w:tcPr>
            <w:tcW w:w="4597" w:type="dxa"/>
            <w:vAlign w:val="center"/>
          </w:tcPr>
          <w:p w14:paraId="563BAD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是否是在中华人民共和国境内注册，具有独立承担民事责任能力的机构。</w:t>
            </w:r>
          </w:p>
        </w:tc>
        <w:tc>
          <w:tcPr>
            <w:tcW w:w="2835" w:type="dxa"/>
            <w:vAlign w:val="center"/>
          </w:tcPr>
          <w:p w14:paraId="387CE9D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517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5C81326">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w:t>
            </w:r>
          </w:p>
        </w:tc>
        <w:tc>
          <w:tcPr>
            <w:tcW w:w="4597" w:type="dxa"/>
            <w:vAlign w:val="center"/>
          </w:tcPr>
          <w:p w14:paraId="247D2036">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是否具有良好的商业信誉和健全的财务会计制度。</w:t>
            </w:r>
          </w:p>
        </w:tc>
        <w:tc>
          <w:tcPr>
            <w:tcW w:w="2835" w:type="dxa"/>
            <w:vAlign w:val="center"/>
          </w:tcPr>
          <w:p w14:paraId="131C501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7C9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E49A3C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w:t>
            </w:r>
          </w:p>
        </w:tc>
        <w:tc>
          <w:tcPr>
            <w:tcW w:w="4597" w:type="dxa"/>
            <w:vAlign w:val="center"/>
          </w:tcPr>
          <w:p w14:paraId="2505B80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是否具有履行合同所必须的设备和专业技术能力。</w:t>
            </w:r>
          </w:p>
        </w:tc>
        <w:tc>
          <w:tcPr>
            <w:tcW w:w="2835" w:type="dxa"/>
            <w:vAlign w:val="center"/>
          </w:tcPr>
          <w:p w14:paraId="6492421A">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3DB0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45901D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w:t>
            </w:r>
          </w:p>
        </w:tc>
        <w:tc>
          <w:tcPr>
            <w:tcW w:w="4597" w:type="dxa"/>
            <w:vAlign w:val="center"/>
          </w:tcPr>
          <w:p w14:paraId="1DD65C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是否具有依法缴纳税收和社会保障资金的良好记录。</w:t>
            </w:r>
          </w:p>
        </w:tc>
        <w:tc>
          <w:tcPr>
            <w:tcW w:w="2835" w:type="dxa"/>
            <w:vAlign w:val="center"/>
          </w:tcPr>
          <w:p w14:paraId="7B940D4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A0B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4E63919">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w:t>
            </w:r>
          </w:p>
        </w:tc>
        <w:tc>
          <w:tcPr>
            <w:tcW w:w="4597" w:type="dxa"/>
            <w:vAlign w:val="center"/>
          </w:tcPr>
          <w:p w14:paraId="21B7453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是否参加本次比选活动前三年内，在经营活动中没有重大违法违规记录。</w:t>
            </w:r>
          </w:p>
        </w:tc>
        <w:tc>
          <w:tcPr>
            <w:tcW w:w="2835" w:type="dxa"/>
            <w:vAlign w:val="center"/>
          </w:tcPr>
          <w:p w14:paraId="63BF364E">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77C5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8A0679B">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w:t>
            </w:r>
          </w:p>
        </w:tc>
        <w:tc>
          <w:tcPr>
            <w:tcW w:w="4597" w:type="dxa"/>
            <w:vAlign w:val="center"/>
          </w:tcPr>
          <w:p w14:paraId="367A5B4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是否存在与单位负责人为同一人或者存在直接控股、管理关系的其他供应商参与同一合同项下的采购活动的行为。</w:t>
            </w:r>
          </w:p>
        </w:tc>
        <w:tc>
          <w:tcPr>
            <w:tcW w:w="2835" w:type="dxa"/>
            <w:vAlign w:val="center"/>
          </w:tcPr>
          <w:p w14:paraId="33FB920C">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35CC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2205383">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7</w:t>
            </w:r>
          </w:p>
        </w:tc>
        <w:tc>
          <w:tcPr>
            <w:tcW w:w="4597" w:type="dxa"/>
            <w:vAlign w:val="center"/>
          </w:tcPr>
          <w:p w14:paraId="40D330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是否存在和其他供应商在同一合同项下的采购项目中，同时委托同一个自然人、同一家庭的人员、同一单位的人员作为代理人的行为。</w:t>
            </w:r>
          </w:p>
        </w:tc>
        <w:tc>
          <w:tcPr>
            <w:tcW w:w="2835" w:type="dxa"/>
            <w:vAlign w:val="center"/>
          </w:tcPr>
          <w:p w14:paraId="7A950B33">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3916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E9CA9C0">
            <w:pPr>
              <w:spacing w:before="93" w:beforeLines="30" w:line="440" w:lineRule="exact"/>
              <w:jc w:val="center"/>
              <w:rPr>
                <w:rFonts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000000"/>
                <w:sz w:val="28"/>
                <w:szCs w:val="28"/>
              </w:rPr>
              <w:t>8</w:t>
            </w:r>
          </w:p>
        </w:tc>
        <w:tc>
          <w:tcPr>
            <w:tcW w:w="4597" w:type="dxa"/>
            <w:vAlign w:val="center"/>
          </w:tcPr>
          <w:p w14:paraId="25B79BD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特殊资格要求：</w:t>
            </w:r>
          </w:p>
          <w:p w14:paraId="3E3984F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1、本项目不允许联合体参加（提供承诺函）。</w:t>
            </w:r>
          </w:p>
          <w:p w14:paraId="0518965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2、本项目不允许合同分包（提供承诺函）。</w:t>
            </w:r>
          </w:p>
        </w:tc>
        <w:tc>
          <w:tcPr>
            <w:tcW w:w="2835" w:type="dxa"/>
            <w:vAlign w:val="center"/>
          </w:tcPr>
          <w:p w14:paraId="3592F8A5">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CE1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D0DD9AE">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9</w:t>
            </w:r>
          </w:p>
        </w:tc>
        <w:tc>
          <w:tcPr>
            <w:tcW w:w="4597" w:type="dxa"/>
            <w:vAlign w:val="center"/>
          </w:tcPr>
          <w:p w14:paraId="440CACE6">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其他类似效力要求：</w:t>
            </w:r>
          </w:p>
          <w:p w14:paraId="6E08F35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1.法定代表人身份证明；</w:t>
            </w:r>
          </w:p>
          <w:p w14:paraId="4BBDF9D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2.法定代表人授权委托书；</w:t>
            </w:r>
          </w:p>
          <w:p w14:paraId="7E09B8E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3.法人及经办人身份复印件。</w:t>
            </w:r>
          </w:p>
        </w:tc>
        <w:tc>
          <w:tcPr>
            <w:tcW w:w="2835" w:type="dxa"/>
            <w:vAlign w:val="center"/>
          </w:tcPr>
          <w:p w14:paraId="070468F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262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14:paraId="31FED52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审查结论</w:t>
            </w:r>
          </w:p>
        </w:tc>
        <w:tc>
          <w:tcPr>
            <w:tcW w:w="2835" w:type="dxa"/>
            <w:vAlign w:val="center"/>
          </w:tcPr>
          <w:p w14:paraId="0D91177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bl>
    <w:p w14:paraId="00C83A17">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响应文件满足以上符合性审查要求的，则通过资格审查；如有任意一项未满足资格审查要求的，则按无效响应处理，并在比选报告中载明未通过资格审查的具体原因。</w:t>
      </w:r>
    </w:p>
    <w:p w14:paraId="6A087326">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（三）符合性审查</w:t>
      </w:r>
    </w:p>
    <w:p w14:paraId="36A9117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1.比选开始前，比选小组对供应商首次提交的响应文件（包括报价）进行审查，审查内容为比选文件不允许实质性变动的实质性要求，不符合实质性要求或应当作无效响应处理的，作无效响应处理。</w:t>
      </w:r>
    </w:p>
    <w:p w14:paraId="397277A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2.比选小组应对供应商已标价清单进行算术性复核，如果出现下列不一致的，按以下原则进行修正：</w:t>
      </w:r>
    </w:p>
    <w:p w14:paraId="4091E9A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（1）报价大写金额和小写金额不一致的，以大写金额为准。但大写金额文字存在错误的，应当先对大写金额的文字错误进行澄清、说明或者更正，再行修正。</w:t>
      </w:r>
    </w:p>
    <w:p w14:paraId="2809F36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（2）总价金额与依据单价计算出的结果不一致的，以单价为准修正总价，但单价小数点有明显错误的除外。</w:t>
      </w:r>
    </w:p>
    <w:p w14:paraId="560AE34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修正后的报价经供应商确认后产生约束力，供应商不确认的，其响应文件作为无效处理。供应商确认采取书面方式并经供应商授权代表签字。比选小组不得未经书面形式要求供应商确认，直接将供应商响应文件作为无效处理。</w:t>
      </w:r>
    </w:p>
    <w:p w14:paraId="6E7D60D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（3）在符合性审查过程中，如果出现比选小组成员意见不一致的情况，按照少数服从多数的原则确定，但不得违背政府采购基本原则和比选文件规定。</w:t>
      </w:r>
    </w:p>
    <w:p w14:paraId="64C1A2D5">
      <w:pPr>
        <w:pStyle w:val="9"/>
        <w:spacing w:before="93" w:beforeLines="30" w:after="0" w:line="578"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76E9B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81" w:type="dxa"/>
            <w:vAlign w:val="center"/>
          </w:tcPr>
          <w:p w14:paraId="6A47C185">
            <w:pPr>
              <w:pStyle w:val="39"/>
              <w:tabs>
                <w:tab w:val="left" w:pos="1980"/>
              </w:tabs>
              <w:autoSpaceDE w:val="0"/>
              <w:autoSpaceDN w:val="0"/>
              <w:spacing w:before="93" w:beforeLines="30" w:line="440" w:lineRule="exact"/>
              <w:ind w:firstLine="0" w:firstLineChars="0"/>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序号</w:t>
            </w:r>
          </w:p>
        </w:tc>
        <w:tc>
          <w:tcPr>
            <w:tcW w:w="4893" w:type="dxa"/>
            <w:vAlign w:val="center"/>
          </w:tcPr>
          <w:p w14:paraId="2B80ABE5">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符合性审查内容</w:t>
            </w:r>
          </w:p>
        </w:tc>
        <w:tc>
          <w:tcPr>
            <w:tcW w:w="3000" w:type="dxa"/>
            <w:vAlign w:val="center"/>
          </w:tcPr>
          <w:p w14:paraId="6BD5FF5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审核结果</w:t>
            </w:r>
          </w:p>
        </w:tc>
      </w:tr>
      <w:tr w14:paraId="2030CC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34D5A2D">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1</w:t>
            </w:r>
          </w:p>
        </w:tc>
        <w:tc>
          <w:tcPr>
            <w:tcW w:w="4893" w:type="dxa"/>
            <w:vAlign w:val="center"/>
          </w:tcPr>
          <w:p w14:paraId="169A3E10">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供应商基本信息表</w:t>
            </w:r>
          </w:p>
        </w:tc>
        <w:tc>
          <w:tcPr>
            <w:tcW w:w="3000" w:type="dxa"/>
            <w:vAlign w:val="center"/>
          </w:tcPr>
          <w:p w14:paraId="4BDD8CA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78AA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06128C27">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2</w:t>
            </w:r>
          </w:p>
        </w:tc>
        <w:tc>
          <w:tcPr>
            <w:tcW w:w="4893" w:type="dxa"/>
            <w:vAlign w:val="center"/>
          </w:tcPr>
          <w:p w14:paraId="698E81F1">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报价表</w:t>
            </w:r>
          </w:p>
        </w:tc>
        <w:tc>
          <w:tcPr>
            <w:tcW w:w="3000" w:type="dxa"/>
            <w:vAlign w:val="center"/>
          </w:tcPr>
          <w:p w14:paraId="09DB67B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D5EDE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72B1536C">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3</w:t>
            </w:r>
          </w:p>
        </w:tc>
        <w:tc>
          <w:tcPr>
            <w:tcW w:w="4893" w:type="dxa"/>
            <w:vAlign w:val="center"/>
          </w:tcPr>
          <w:p w14:paraId="5266113F">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服务要求应答表</w:t>
            </w:r>
          </w:p>
        </w:tc>
        <w:tc>
          <w:tcPr>
            <w:tcW w:w="3000" w:type="dxa"/>
            <w:vAlign w:val="center"/>
          </w:tcPr>
          <w:p w14:paraId="6AEB4E3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2AEA8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EC5C954">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4</w:t>
            </w:r>
          </w:p>
        </w:tc>
        <w:tc>
          <w:tcPr>
            <w:tcW w:w="4893" w:type="dxa"/>
            <w:vAlign w:val="center"/>
          </w:tcPr>
          <w:p w14:paraId="6A398DB0">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商务要求应答表</w:t>
            </w:r>
          </w:p>
        </w:tc>
        <w:tc>
          <w:tcPr>
            <w:tcW w:w="3000" w:type="dxa"/>
            <w:vAlign w:val="center"/>
          </w:tcPr>
          <w:p w14:paraId="5CF8B47E">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00A402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517" w:hRule="atLeast"/>
        </w:trPr>
        <w:tc>
          <w:tcPr>
            <w:tcW w:w="1081" w:type="dxa"/>
            <w:vAlign w:val="center"/>
          </w:tcPr>
          <w:p w14:paraId="0A0DE7F8">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w:t>
            </w:r>
          </w:p>
        </w:tc>
        <w:tc>
          <w:tcPr>
            <w:tcW w:w="4893" w:type="dxa"/>
            <w:vAlign w:val="center"/>
          </w:tcPr>
          <w:p w14:paraId="28452408">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文件签署和盖章</w:t>
            </w:r>
          </w:p>
        </w:tc>
        <w:tc>
          <w:tcPr>
            <w:tcW w:w="3000" w:type="dxa"/>
            <w:vAlign w:val="center"/>
          </w:tcPr>
          <w:p w14:paraId="6A6E364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3EA4A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724F6197">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w:t>
            </w:r>
          </w:p>
        </w:tc>
        <w:tc>
          <w:tcPr>
            <w:tcW w:w="4893" w:type="dxa"/>
            <w:vAlign w:val="center"/>
          </w:tcPr>
          <w:p w14:paraId="4589E7CF">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比选文件的其他要求</w:t>
            </w:r>
          </w:p>
        </w:tc>
        <w:tc>
          <w:tcPr>
            <w:tcW w:w="3000" w:type="dxa"/>
            <w:vAlign w:val="center"/>
          </w:tcPr>
          <w:p w14:paraId="6D650D38">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5E55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0396035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审查结论</w:t>
            </w:r>
          </w:p>
        </w:tc>
        <w:tc>
          <w:tcPr>
            <w:tcW w:w="3000" w:type="dxa"/>
            <w:vAlign w:val="center"/>
          </w:tcPr>
          <w:p w14:paraId="5D7736DA">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bl>
    <w:p w14:paraId="4BEB8C2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响应文件满足以上符合性审查要求的，则通过符合性审查；如有任意一项未满足符合性审查要求的，则按无效响应处理，并在比选报告中载明未通过符合性审查的具体原因。</w:t>
      </w:r>
    </w:p>
    <w:p w14:paraId="3D697646">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（四）比选</w:t>
      </w:r>
    </w:p>
    <w:p w14:paraId="24EBD5AC">
      <w:pPr>
        <w:pStyle w:val="9"/>
        <w:spacing w:before="93" w:beforeLines="30" w:after="0" w:line="578" w:lineRule="exact"/>
        <w:ind w:firstLine="560" w:firstLineChars="200"/>
        <w:rPr>
          <w:rFonts w:ascii="宋体" w:hAnsi="宋体" w:cs="宋体"/>
          <w:color w:val="000000"/>
          <w:sz w:val="32"/>
          <w:szCs w:val="32"/>
        </w:rPr>
      </w:pPr>
      <w:r>
        <w:rPr>
          <w:rFonts w:hint="eastAsia" w:asciiTheme="minorEastAsia" w:hAnsiTheme="minorEastAsia" w:eastAsiaTheme="minorEastAsia" w:cstheme="minorEastAsia"/>
          <w:color w:val="000000"/>
          <w:sz w:val="28"/>
          <w:szCs w:val="28"/>
        </w:rPr>
        <w:t>比选小组对通过资格审查和复合性审查的供应商按照详细评分标准进行综合评分。</w:t>
      </w:r>
    </w:p>
    <w:p w14:paraId="69C20BF8">
      <w:pPr>
        <w:pStyle w:val="9"/>
        <w:spacing w:before="93" w:beforeLines="30" w:after="0" w:line="578" w:lineRule="exact"/>
        <w:jc w:val="center"/>
        <w:rPr>
          <w:rFonts w:ascii="黑体" w:hAnsi="黑体" w:eastAsia="黑体" w:cs="黑体"/>
          <w:color w:val="000000"/>
          <w:sz w:val="36"/>
          <w:szCs w:val="36"/>
        </w:rPr>
      </w:pPr>
      <w:r>
        <w:rPr>
          <w:rFonts w:hint="eastAsia" w:ascii="黑体" w:hAnsi="黑体" w:eastAsia="黑体" w:cs="黑体"/>
          <w:color w:val="000000"/>
          <w:sz w:val="36"/>
          <w:szCs w:val="36"/>
        </w:rPr>
        <w:t>详细评分标准</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1439"/>
        <w:gridCol w:w="3845"/>
        <w:gridCol w:w="831"/>
        <w:gridCol w:w="831"/>
        <w:gridCol w:w="1243"/>
      </w:tblGrid>
      <w:tr w14:paraId="0CCE94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70" w:type="dxa"/>
            <w:gridSpan w:val="2"/>
          </w:tcPr>
          <w:p w14:paraId="37B832DA">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评审因素</w:t>
            </w:r>
          </w:p>
        </w:tc>
        <w:tc>
          <w:tcPr>
            <w:tcW w:w="6750" w:type="dxa"/>
            <w:gridSpan w:val="4"/>
          </w:tcPr>
          <w:p w14:paraId="66457854">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评审标准</w:t>
            </w:r>
          </w:p>
        </w:tc>
      </w:tr>
      <w:tr w14:paraId="78A3A7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tcPr>
          <w:p w14:paraId="1F3ADBA6">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评审因素分类</w:t>
            </w:r>
          </w:p>
        </w:tc>
        <w:tc>
          <w:tcPr>
            <w:tcW w:w="1439" w:type="dxa"/>
            <w:vAlign w:val="center"/>
          </w:tcPr>
          <w:p w14:paraId="6107441F">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评审项</w:t>
            </w:r>
          </w:p>
        </w:tc>
        <w:tc>
          <w:tcPr>
            <w:tcW w:w="3845" w:type="dxa"/>
            <w:vAlign w:val="center"/>
          </w:tcPr>
          <w:p w14:paraId="750CD64E">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详细描述</w:t>
            </w:r>
          </w:p>
        </w:tc>
        <w:tc>
          <w:tcPr>
            <w:tcW w:w="831" w:type="dxa"/>
            <w:vAlign w:val="center"/>
          </w:tcPr>
          <w:p w14:paraId="67778DE1">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分值</w:t>
            </w:r>
          </w:p>
        </w:tc>
        <w:tc>
          <w:tcPr>
            <w:tcW w:w="831" w:type="dxa"/>
            <w:vAlign w:val="center"/>
          </w:tcPr>
          <w:p w14:paraId="6706406D">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客观/主观</w:t>
            </w:r>
          </w:p>
        </w:tc>
        <w:tc>
          <w:tcPr>
            <w:tcW w:w="1243" w:type="dxa"/>
            <w:vAlign w:val="center"/>
          </w:tcPr>
          <w:p w14:paraId="7AC5D9C2">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关联格式</w:t>
            </w:r>
          </w:p>
        </w:tc>
      </w:tr>
      <w:tr w14:paraId="65A97D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Align w:val="center"/>
          </w:tcPr>
          <w:p w14:paraId="266A373F">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价格分</w:t>
            </w:r>
          </w:p>
        </w:tc>
        <w:tc>
          <w:tcPr>
            <w:tcW w:w="1439" w:type="dxa"/>
            <w:vAlign w:val="center"/>
          </w:tcPr>
          <w:p w14:paraId="30BB70F6">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价格分</w:t>
            </w:r>
          </w:p>
        </w:tc>
        <w:tc>
          <w:tcPr>
            <w:tcW w:w="3845" w:type="dxa"/>
          </w:tcPr>
          <w:p w14:paraId="71508B64">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以满足采购文件要求且报价最低的为基准价，报价得分=（基准报价／投标报价）×</w:t>
            </w:r>
            <w:r>
              <w:rPr>
                <w:rFonts w:hint="eastAsia" w:asciiTheme="minorEastAsia" w:hAnsiTheme="minorEastAsia" w:eastAsiaTheme="minorEastAsia" w:cstheme="minorEastAsia"/>
                <w:sz w:val="24"/>
                <w:szCs w:val="24"/>
                <w:highlight w:val="none"/>
                <w:lang w:eastAsia="zh-CN"/>
              </w:rPr>
              <w:t>3</w:t>
            </w:r>
            <w:r>
              <w:rPr>
                <w:rFonts w:hint="eastAsia" w:asciiTheme="minorEastAsia" w:hAnsiTheme="minorEastAsia" w:eastAsiaTheme="minorEastAsia" w:cstheme="minorEastAsia"/>
                <w:sz w:val="24"/>
                <w:szCs w:val="24"/>
                <w:highlight w:val="none"/>
              </w:rPr>
              <w:t>0×100%。注：报价评分的取值按四舍五入法，保留小数点后两位。</w:t>
            </w:r>
          </w:p>
        </w:tc>
        <w:tc>
          <w:tcPr>
            <w:tcW w:w="831" w:type="dxa"/>
            <w:vAlign w:val="center"/>
          </w:tcPr>
          <w:p w14:paraId="093031E5">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3</w:t>
            </w:r>
            <w:r>
              <w:rPr>
                <w:rFonts w:hint="eastAsia" w:asciiTheme="minorEastAsia" w:hAnsiTheme="minorEastAsia" w:eastAsiaTheme="minorEastAsia" w:cstheme="minorEastAsia"/>
                <w:sz w:val="24"/>
                <w:szCs w:val="24"/>
                <w:highlight w:val="none"/>
              </w:rPr>
              <w:t>0.00</w:t>
            </w:r>
          </w:p>
        </w:tc>
        <w:tc>
          <w:tcPr>
            <w:tcW w:w="831" w:type="dxa"/>
            <w:vAlign w:val="center"/>
          </w:tcPr>
          <w:p w14:paraId="56C53A19">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客观</w:t>
            </w:r>
          </w:p>
        </w:tc>
        <w:tc>
          <w:tcPr>
            <w:tcW w:w="1243" w:type="dxa"/>
            <w:vAlign w:val="center"/>
          </w:tcPr>
          <w:p w14:paraId="4031751E">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报价表</w:t>
            </w:r>
          </w:p>
        </w:tc>
      </w:tr>
      <w:tr w14:paraId="0A65B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restart"/>
            <w:vAlign w:val="center"/>
          </w:tcPr>
          <w:p w14:paraId="5D6D45C2">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详细评审</w:t>
            </w:r>
          </w:p>
        </w:tc>
        <w:tc>
          <w:tcPr>
            <w:tcW w:w="1439" w:type="dxa"/>
            <w:shd w:val="clear" w:color="auto" w:fill="auto"/>
            <w:vAlign w:val="center"/>
          </w:tcPr>
          <w:p w14:paraId="238F0436">
            <w:pPr>
              <w:pStyle w:val="49"/>
              <w:jc w:val="center"/>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制度流程</w:t>
            </w:r>
          </w:p>
        </w:tc>
        <w:tc>
          <w:tcPr>
            <w:tcW w:w="3845" w:type="dxa"/>
            <w:shd w:val="clear" w:color="auto" w:fill="auto"/>
          </w:tcPr>
          <w:p w14:paraId="70019C14">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投标人针对本项目建立完整的项目管理制度、岗位职责、质量标准、工作流程的得1</w:t>
            </w:r>
            <w:r>
              <w:rPr>
                <w:rFonts w:hint="eastAsia" w:asciiTheme="minorEastAsia" w:hAnsi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分，每缺1项扣</w:t>
            </w:r>
            <w:r>
              <w:rPr>
                <w:rFonts w:hint="eastAsia" w:asciiTheme="minorEastAsia" w:hAnsi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分、每有1项错误或与本项目采购需求无关的扣</w:t>
            </w:r>
            <w:r>
              <w:rPr>
                <w:rFonts w:hint="eastAsia" w:asciiTheme="minorEastAsia" w:hAnsi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 xml:space="preserve">分。 </w:t>
            </w:r>
          </w:p>
        </w:tc>
        <w:tc>
          <w:tcPr>
            <w:tcW w:w="831" w:type="dxa"/>
            <w:shd w:val="clear" w:color="auto" w:fill="auto"/>
            <w:vAlign w:val="center"/>
          </w:tcPr>
          <w:p w14:paraId="6B0220DE">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16.00</w:t>
            </w:r>
          </w:p>
        </w:tc>
        <w:tc>
          <w:tcPr>
            <w:tcW w:w="831" w:type="dxa"/>
            <w:shd w:val="clear" w:color="auto" w:fill="auto"/>
            <w:vAlign w:val="center"/>
          </w:tcPr>
          <w:p w14:paraId="0803F1C9">
            <w:pPr>
              <w:pStyle w:val="49"/>
              <w:jc w:val="center"/>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cstheme="minorEastAsia"/>
                <w:sz w:val="24"/>
                <w:szCs w:val="24"/>
                <w:highlight w:val="none"/>
                <w:lang w:eastAsia="zh-CN"/>
              </w:rPr>
              <w:t>主观</w:t>
            </w:r>
          </w:p>
        </w:tc>
        <w:tc>
          <w:tcPr>
            <w:tcW w:w="1243" w:type="dxa"/>
            <w:vMerge w:val="restart"/>
            <w:shd w:val="clear" w:color="auto" w:fill="auto"/>
            <w:vAlign w:val="center"/>
          </w:tcPr>
          <w:p w14:paraId="6C833F75">
            <w:pPr>
              <w:pStyle w:val="49"/>
              <w:jc w:val="center"/>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cstheme="minorEastAsia"/>
                <w:sz w:val="24"/>
                <w:szCs w:val="24"/>
                <w:highlight w:val="none"/>
                <w:lang w:eastAsia="zh-CN"/>
              </w:rPr>
              <w:t>服务方案</w:t>
            </w:r>
          </w:p>
        </w:tc>
      </w:tr>
      <w:tr w14:paraId="59D23E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continue"/>
            <w:vAlign w:val="center"/>
          </w:tcPr>
          <w:p w14:paraId="5E79B2B3">
            <w:pPr>
              <w:pStyle w:val="49"/>
              <w:jc w:val="center"/>
              <w:rPr>
                <w:rFonts w:hint="eastAsia" w:asciiTheme="minorEastAsia" w:hAnsiTheme="minorEastAsia" w:eastAsiaTheme="minorEastAsia" w:cstheme="minorEastAsia"/>
                <w:sz w:val="24"/>
                <w:szCs w:val="24"/>
                <w:highlight w:val="none"/>
              </w:rPr>
            </w:pPr>
          </w:p>
        </w:tc>
        <w:tc>
          <w:tcPr>
            <w:tcW w:w="1439" w:type="dxa"/>
            <w:shd w:val="clear" w:color="auto" w:fill="auto"/>
            <w:vAlign w:val="center"/>
          </w:tcPr>
          <w:p w14:paraId="68BC8DE8">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项目管理</w:t>
            </w:r>
          </w:p>
        </w:tc>
        <w:tc>
          <w:tcPr>
            <w:tcW w:w="3845" w:type="dxa"/>
            <w:shd w:val="clear" w:color="auto" w:fill="auto"/>
          </w:tcPr>
          <w:p w14:paraId="33438C3F">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投标人针对本项目制定完善的管理方案（包括安全管理组织架构、安全管理制度、安全管理程序、安全管理档案）得12分，每缺1项扣3分、每有1项错误或与本项目采购需求无关的扣1分。 </w:t>
            </w:r>
          </w:p>
        </w:tc>
        <w:tc>
          <w:tcPr>
            <w:tcW w:w="831" w:type="dxa"/>
            <w:shd w:val="clear" w:color="auto" w:fill="auto"/>
            <w:vAlign w:val="center"/>
          </w:tcPr>
          <w:p w14:paraId="218819AF">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12.00</w:t>
            </w:r>
          </w:p>
        </w:tc>
        <w:tc>
          <w:tcPr>
            <w:tcW w:w="831" w:type="dxa"/>
            <w:shd w:val="clear" w:color="auto" w:fill="auto"/>
            <w:vAlign w:val="center"/>
          </w:tcPr>
          <w:p w14:paraId="669601B2">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cstheme="minorEastAsia"/>
                <w:sz w:val="24"/>
                <w:szCs w:val="24"/>
                <w:highlight w:val="none"/>
                <w:lang w:eastAsia="zh-CN"/>
              </w:rPr>
              <w:t>主观</w:t>
            </w:r>
          </w:p>
        </w:tc>
        <w:tc>
          <w:tcPr>
            <w:tcW w:w="1243" w:type="dxa"/>
            <w:vMerge w:val="continue"/>
            <w:shd w:val="clear" w:color="auto" w:fill="auto"/>
            <w:vAlign w:val="center"/>
          </w:tcPr>
          <w:p w14:paraId="07A81AFC">
            <w:pPr>
              <w:pStyle w:val="49"/>
              <w:jc w:val="center"/>
              <w:rPr>
                <w:rFonts w:hint="eastAsia" w:asciiTheme="minorEastAsia" w:hAnsiTheme="minorEastAsia" w:eastAsiaTheme="minorEastAsia" w:cstheme="minorEastAsia"/>
                <w:sz w:val="24"/>
                <w:szCs w:val="24"/>
                <w:highlight w:val="none"/>
              </w:rPr>
            </w:pPr>
          </w:p>
        </w:tc>
      </w:tr>
      <w:tr w14:paraId="746B91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continue"/>
            <w:vAlign w:val="center"/>
          </w:tcPr>
          <w:p w14:paraId="2DE857A4">
            <w:pPr>
              <w:pStyle w:val="49"/>
              <w:jc w:val="center"/>
              <w:rPr>
                <w:rFonts w:hint="eastAsia" w:asciiTheme="minorEastAsia" w:hAnsiTheme="minorEastAsia" w:eastAsiaTheme="minorEastAsia" w:cstheme="minorEastAsia"/>
                <w:sz w:val="24"/>
                <w:szCs w:val="24"/>
                <w:highlight w:val="none"/>
              </w:rPr>
            </w:pPr>
          </w:p>
        </w:tc>
        <w:tc>
          <w:tcPr>
            <w:tcW w:w="1439" w:type="dxa"/>
            <w:shd w:val="clear" w:color="auto" w:fill="auto"/>
            <w:vAlign w:val="center"/>
          </w:tcPr>
          <w:p w14:paraId="0FC02ADE">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应急处置</w:t>
            </w:r>
          </w:p>
        </w:tc>
        <w:tc>
          <w:tcPr>
            <w:tcW w:w="3845" w:type="dxa"/>
            <w:shd w:val="clear" w:color="auto" w:fill="auto"/>
          </w:tcPr>
          <w:p w14:paraId="6C4FECF8">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投标人针对本项目制定完善的应急服务处置方案（包括公共卫生事件、自然灾害事件的应急服务方案）的</w:t>
            </w:r>
            <w:r>
              <w:rPr>
                <w:rFonts w:hint="eastAsia" w:asciiTheme="minorEastAsia" w:hAnsi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分，每缺1项扣</w:t>
            </w:r>
            <w:r>
              <w:rPr>
                <w:rFonts w:hint="eastAsia" w:asciiTheme="minorEastAsia" w:hAnsi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分、每有1项错误或与本项目采购需求无关的扣</w:t>
            </w:r>
            <w:r>
              <w:rPr>
                <w:rFonts w:hint="eastAsia" w:asciiTheme="minorEastAsia" w:hAnsi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 xml:space="preserve">分。 </w:t>
            </w:r>
          </w:p>
        </w:tc>
        <w:tc>
          <w:tcPr>
            <w:tcW w:w="831" w:type="dxa"/>
            <w:shd w:val="clear" w:color="auto" w:fill="auto"/>
            <w:vAlign w:val="center"/>
          </w:tcPr>
          <w:p w14:paraId="797C7066">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8.00</w:t>
            </w:r>
          </w:p>
        </w:tc>
        <w:tc>
          <w:tcPr>
            <w:tcW w:w="831" w:type="dxa"/>
            <w:shd w:val="clear" w:color="auto" w:fill="auto"/>
            <w:vAlign w:val="center"/>
          </w:tcPr>
          <w:p w14:paraId="58F58E34">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cstheme="minorEastAsia"/>
                <w:sz w:val="24"/>
                <w:szCs w:val="24"/>
                <w:highlight w:val="none"/>
                <w:lang w:eastAsia="zh-CN"/>
              </w:rPr>
              <w:t>主观</w:t>
            </w:r>
          </w:p>
        </w:tc>
        <w:tc>
          <w:tcPr>
            <w:tcW w:w="1243" w:type="dxa"/>
            <w:vMerge w:val="continue"/>
            <w:shd w:val="clear" w:color="auto" w:fill="auto"/>
            <w:vAlign w:val="center"/>
          </w:tcPr>
          <w:p w14:paraId="0415F39C">
            <w:pPr>
              <w:pStyle w:val="49"/>
              <w:jc w:val="center"/>
              <w:rPr>
                <w:rFonts w:hint="eastAsia" w:asciiTheme="minorEastAsia" w:hAnsiTheme="minorEastAsia" w:eastAsiaTheme="minorEastAsia" w:cstheme="minorEastAsia"/>
                <w:sz w:val="24"/>
                <w:szCs w:val="24"/>
                <w:highlight w:val="none"/>
              </w:rPr>
            </w:pPr>
          </w:p>
        </w:tc>
      </w:tr>
      <w:tr w14:paraId="26EBBA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continue"/>
            <w:vAlign w:val="center"/>
          </w:tcPr>
          <w:p w14:paraId="5EEC1944">
            <w:pPr>
              <w:pStyle w:val="49"/>
              <w:jc w:val="center"/>
              <w:rPr>
                <w:rFonts w:hint="eastAsia" w:asciiTheme="minorEastAsia" w:hAnsiTheme="minorEastAsia" w:eastAsiaTheme="minorEastAsia" w:cstheme="minorEastAsia"/>
                <w:sz w:val="24"/>
                <w:szCs w:val="24"/>
                <w:highlight w:val="none"/>
              </w:rPr>
            </w:pPr>
          </w:p>
        </w:tc>
        <w:tc>
          <w:tcPr>
            <w:tcW w:w="1439" w:type="dxa"/>
            <w:shd w:val="clear" w:color="auto" w:fill="auto"/>
            <w:vAlign w:val="center"/>
          </w:tcPr>
          <w:p w14:paraId="48C59184">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院感管理</w:t>
            </w:r>
          </w:p>
        </w:tc>
        <w:tc>
          <w:tcPr>
            <w:tcW w:w="3845" w:type="dxa"/>
            <w:shd w:val="clear" w:color="auto" w:fill="auto"/>
          </w:tcPr>
          <w:p w14:paraId="5C43D73D">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投标人针对本项目制定完善的感染管理制度、特殊区域院感管理措施、与医院其他工作的配合协调措施的得9分，每缺1项扣3分、每有1项错误或与本项目采购需求无关的扣1分。 </w:t>
            </w:r>
          </w:p>
        </w:tc>
        <w:tc>
          <w:tcPr>
            <w:tcW w:w="831" w:type="dxa"/>
            <w:shd w:val="clear" w:color="auto" w:fill="auto"/>
            <w:vAlign w:val="center"/>
          </w:tcPr>
          <w:p w14:paraId="11336D46">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9.00</w:t>
            </w:r>
          </w:p>
        </w:tc>
        <w:tc>
          <w:tcPr>
            <w:tcW w:w="831" w:type="dxa"/>
            <w:shd w:val="clear" w:color="auto" w:fill="auto"/>
            <w:vAlign w:val="center"/>
          </w:tcPr>
          <w:p w14:paraId="5B1D5C77">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cstheme="minorEastAsia"/>
                <w:sz w:val="24"/>
                <w:szCs w:val="24"/>
                <w:highlight w:val="none"/>
                <w:lang w:eastAsia="zh-CN"/>
              </w:rPr>
              <w:t>主观</w:t>
            </w:r>
          </w:p>
        </w:tc>
        <w:tc>
          <w:tcPr>
            <w:tcW w:w="1243" w:type="dxa"/>
            <w:vMerge w:val="continue"/>
            <w:shd w:val="clear" w:color="auto" w:fill="auto"/>
            <w:vAlign w:val="center"/>
          </w:tcPr>
          <w:p w14:paraId="29DF0FCF">
            <w:pPr>
              <w:pStyle w:val="49"/>
              <w:jc w:val="center"/>
              <w:rPr>
                <w:rFonts w:hint="eastAsia" w:asciiTheme="minorEastAsia" w:hAnsiTheme="minorEastAsia" w:eastAsiaTheme="minorEastAsia" w:cstheme="minorEastAsia"/>
                <w:sz w:val="24"/>
                <w:szCs w:val="24"/>
                <w:highlight w:val="none"/>
              </w:rPr>
            </w:pPr>
          </w:p>
        </w:tc>
      </w:tr>
      <w:tr w14:paraId="7CD0AB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continue"/>
            <w:vAlign w:val="center"/>
          </w:tcPr>
          <w:p w14:paraId="567433DF">
            <w:pPr>
              <w:pStyle w:val="49"/>
              <w:jc w:val="center"/>
              <w:rPr>
                <w:rFonts w:hint="eastAsia" w:asciiTheme="minorEastAsia" w:hAnsiTheme="minorEastAsia" w:eastAsiaTheme="minorEastAsia" w:cstheme="minorEastAsia"/>
                <w:sz w:val="24"/>
                <w:szCs w:val="24"/>
                <w:highlight w:val="none"/>
              </w:rPr>
            </w:pPr>
          </w:p>
        </w:tc>
        <w:tc>
          <w:tcPr>
            <w:tcW w:w="1439" w:type="dxa"/>
            <w:shd w:val="clear" w:color="auto" w:fill="auto"/>
            <w:vAlign w:val="center"/>
          </w:tcPr>
          <w:p w14:paraId="50BE7DB3">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服务方案</w:t>
            </w:r>
          </w:p>
        </w:tc>
        <w:tc>
          <w:tcPr>
            <w:tcW w:w="3845" w:type="dxa"/>
            <w:shd w:val="clear" w:color="auto" w:fill="auto"/>
          </w:tcPr>
          <w:p w14:paraId="54D74416">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投标人针对本项目制定完善的中央运送技能、中央运送工作要求、职业防护培训方案的得</w:t>
            </w:r>
            <w:r>
              <w:rPr>
                <w:rFonts w:hint="eastAsia" w:asciiTheme="minorEastAsia" w:hAnsiTheme="minorEastAsia" w:cstheme="minorEastAsia"/>
                <w:sz w:val="24"/>
                <w:szCs w:val="24"/>
                <w:highlight w:val="none"/>
                <w:lang w:val="en-US" w:eastAsia="zh-CN"/>
              </w:rPr>
              <w:t>15</w:t>
            </w:r>
            <w:r>
              <w:rPr>
                <w:rFonts w:hint="eastAsia" w:asciiTheme="minorEastAsia" w:hAnsiTheme="minorEastAsia" w:eastAsiaTheme="minorEastAsia" w:cstheme="minorEastAsia"/>
                <w:sz w:val="24"/>
                <w:szCs w:val="24"/>
                <w:highlight w:val="none"/>
              </w:rPr>
              <w:t>分，每缺1项扣</w:t>
            </w:r>
            <w:r>
              <w:rPr>
                <w:rFonts w:hint="eastAsia" w:asciiTheme="minorEastAsia" w:hAnsi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分、每有1项错误或与本项目采购需求无关的扣</w:t>
            </w:r>
            <w:r>
              <w:rPr>
                <w:rFonts w:hint="eastAsia" w:asciiTheme="minorEastAsia" w:hAnsi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分。</w:t>
            </w:r>
          </w:p>
        </w:tc>
        <w:tc>
          <w:tcPr>
            <w:tcW w:w="831" w:type="dxa"/>
            <w:shd w:val="clear" w:color="auto" w:fill="auto"/>
            <w:vAlign w:val="center"/>
          </w:tcPr>
          <w:p w14:paraId="01892F7D">
            <w:pPr>
              <w:pStyle w:val="49"/>
              <w:jc w:val="center"/>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15.00</w:t>
            </w:r>
          </w:p>
        </w:tc>
        <w:tc>
          <w:tcPr>
            <w:tcW w:w="831" w:type="dxa"/>
            <w:shd w:val="clear" w:color="auto" w:fill="auto"/>
            <w:vAlign w:val="center"/>
          </w:tcPr>
          <w:p w14:paraId="72C9DC86">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cstheme="minorEastAsia"/>
                <w:sz w:val="24"/>
                <w:szCs w:val="24"/>
                <w:highlight w:val="none"/>
                <w:lang w:eastAsia="zh-CN"/>
              </w:rPr>
              <w:t>主观</w:t>
            </w:r>
          </w:p>
        </w:tc>
        <w:tc>
          <w:tcPr>
            <w:tcW w:w="1243" w:type="dxa"/>
            <w:vMerge w:val="continue"/>
            <w:shd w:val="clear" w:color="auto" w:fill="auto"/>
            <w:vAlign w:val="center"/>
          </w:tcPr>
          <w:p w14:paraId="6CD10D06">
            <w:pPr>
              <w:pStyle w:val="49"/>
              <w:jc w:val="center"/>
              <w:rPr>
                <w:rFonts w:hint="eastAsia" w:asciiTheme="minorEastAsia" w:hAnsiTheme="minorEastAsia" w:eastAsiaTheme="minorEastAsia" w:cstheme="minorEastAsia"/>
                <w:sz w:val="24"/>
                <w:szCs w:val="24"/>
                <w:highlight w:val="none"/>
              </w:rPr>
            </w:pPr>
          </w:p>
        </w:tc>
      </w:tr>
      <w:tr w14:paraId="201B94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1" w:type="dxa"/>
            <w:vMerge w:val="continue"/>
            <w:vAlign w:val="center"/>
          </w:tcPr>
          <w:p w14:paraId="49C770D6">
            <w:pPr>
              <w:pStyle w:val="49"/>
              <w:jc w:val="center"/>
              <w:rPr>
                <w:rFonts w:hint="eastAsia" w:asciiTheme="minorEastAsia" w:hAnsiTheme="minorEastAsia" w:eastAsiaTheme="minorEastAsia" w:cstheme="minorEastAsia"/>
                <w:sz w:val="24"/>
                <w:szCs w:val="24"/>
                <w:highlight w:val="none"/>
              </w:rPr>
            </w:pPr>
          </w:p>
        </w:tc>
        <w:tc>
          <w:tcPr>
            <w:tcW w:w="1439" w:type="dxa"/>
            <w:shd w:val="clear" w:color="auto" w:fill="auto"/>
            <w:vAlign w:val="center"/>
          </w:tcPr>
          <w:p w14:paraId="00BBE3BC">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履约能力</w:t>
            </w:r>
          </w:p>
        </w:tc>
        <w:tc>
          <w:tcPr>
            <w:tcW w:w="3845" w:type="dxa"/>
            <w:shd w:val="clear" w:color="auto" w:fill="auto"/>
          </w:tcPr>
          <w:p w14:paraId="71AE0300">
            <w:pPr>
              <w:pStyle w:val="49"/>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供应商2019年1月1日（含）以来具有类似业绩（类似业绩指：医院里面的药品、被服、检验标本等相关物资的运送服务），提供合同或中标（成交）通知书复印件加盖公章，每提供1个业绩得 </w:t>
            </w:r>
            <w:r>
              <w:rPr>
                <w:rFonts w:hint="eastAsia" w:asciiTheme="minorEastAsia" w:hAnsiTheme="minorEastAsia" w:cstheme="minorEastAsia"/>
                <w:sz w:val="24"/>
                <w:szCs w:val="24"/>
                <w:highlight w:val="none"/>
                <w:lang w:val="en-US" w:eastAsia="zh-CN"/>
              </w:rPr>
              <w:t>5</w:t>
            </w:r>
            <w:r>
              <w:rPr>
                <w:rFonts w:hint="eastAsia" w:asciiTheme="minorEastAsia" w:hAnsiTheme="minorEastAsia" w:eastAsiaTheme="minorEastAsia" w:cstheme="minorEastAsia"/>
                <w:sz w:val="24"/>
                <w:szCs w:val="24"/>
                <w:highlight w:val="none"/>
              </w:rPr>
              <w:t xml:space="preserve"> 分，本项最多得</w:t>
            </w:r>
            <w:r>
              <w:rPr>
                <w:rFonts w:hint="eastAsia" w:asciiTheme="minorEastAsia" w:hAnsi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分。</w:t>
            </w:r>
          </w:p>
        </w:tc>
        <w:tc>
          <w:tcPr>
            <w:tcW w:w="831" w:type="dxa"/>
            <w:shd w:val="clear" w:color="auto" w:fill="auto"/>
            <w:vAlign w:val="center"/>
          </w:tcPr>
          <w:p w14:paraId="36CF4BD2">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cstheme="minorEastAsia"/>
                <w:sz w:val="24"/>
                <w:szCs w:val="24"/>
                <w:highlight w:val="none"/>
                <w:lang w:val="en-US" w:eastAsia="zh-CN"/>
              </w:rPr>
              <w:t>10</w:t>
            </w:r>
            <w:r>
              <w:rPr>
                <w:rFonts w:hint="eastAsia" w:asciiTheme="minorEastAsia" w:hAnsiTheme="minorEastAsia" w:eastAsiaTheme="minorEastAsia" w:cstheme="minorEastAsia"/>
                <w:sz w:val="24"/>
                <w:szCs w:val="24"/>
                <w:highlight w:val="none"/>
              </w:rPr>
              <w:t>.00</w:t>
            </w:r>
          </w:p>
        </w:tc>
        <w:tc>
          <w:tcPr>
            <w:tcW w:w="831" w:type="dxa"/>
            <w:shd w:val="clear" w:color="auto" w:fill="auto"/>
            <w:vAlign w:val="center"/>
          </w:tcPr>
          <w:p w14:paraId="0D09854D">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客观</w:t>
            </w:r>
          </w:p>
        </w:tc>
        <w:tc>
          <w:tcPr>
            <w:tcW w:w="1243" w:type="dxa"/>
            <w:shd w:val="clear" w:color="auto" w:fill="auto"/>
            <w:vAlign w:val="center"/>
          </w:tcPr>
          <w:p w14:paraId="07E7BE93">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业绩一览表</w:t>
            </w:r>
          </w:p>
          <w:p w14:paraId="5808BC8E">
            <w:pPr>
              <w:pStyle w:val="49"/>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供应商认为应提交的其他相关证明材料</w:t>
            </w:r>
          </w:p>
        </w:tc>
      </w:tr>
    </w:tbl>
    <w:p w14:paraId="05794AB1">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说明：</w:t>
      </w:r>
    </w:p>
    <w:p w14:paraId="76A3CC92">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1、所有的评分、价格等涉及小数计算，先四舍五入再计算；</w:t>
      </w:r>
    </w:p>
    <w:p w14:paraId="17329DBE">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2、评分标准中要求提供的证明材料须清晰可辨。</w:t>
      </w:r>
    </w:p>
    <w:p w14:paraId="2A6AF223">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（五）推荐成交候选供应商</w:t>
      </w:r>
    </w:p>
    <w:p w14:paraId="5C9DD576">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比选小组复核后，应当按照经评审的供应商综合得分由高到低顺序推荐成交候选供应商，并编写比选报告。</w:t>
      </w:r>
    </w:p>
    <w:p w14:paraId="4815F78C">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（六）编写比选报告</w:t>
      </w:r>
    </w:p>
    <w:p w14:paraId="19064C9D">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比选小组推荐成交候选供应商后，出具比选报告。比选报告应当包括下列内容：</w:t>
      </w:r>
    </w:p>
    <w:p w14:paraId="67E90C16">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（1）</w:t>
      </w:r>
      <w:r>
        <w:rPr>
          <w:rFonts w:hint="eastAsia" w:asciiTheme="minorEastAsia" w:hAnsiTheme="minorEastAsia" w:eastAsiaTheme="minorEastAsia" w:cstheme="minorEastAsia"/>
          <w:color w:val="000000"/>
          <w:sz w:val="28"/>
          <w:szCs w:val="28"/>
        </w:rPr>
        <w:t>邀请供应商参加采购活动的具体方式和相关情况，以及参加采购活动的供应商名单；</w:t>
      </w:r>
    </w:p>
    <w:p w14:paraId="6E935BEC">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（2）</w:t>
      </w:r>
      <w:r>
        <w:rPr>
          <w:rFonts w:hint="eastAsia" w:asciiTheme="minorEastAsia" w:hAnsiTheme="minorEastAsia" w:eastAsiaTheme="minorEastAsia" w:cstheme="minorEastAsia"/>
          <w:color w:val="000000"/>
          <w:sz w:val="28"/>
          <w:szCs w:val="28"/>
        </w:rPr>
        <w:t>评审日期和地点，比选小组成员名单；</w:t>
      </w:r>
    </w:p>
    <w:p w14:paraId="45747961">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（3）</w:t>
      </w:r>
      <w:r>
        <w:rPr>
          <w:rFonts w:hint="eastAsia" w:asciiTheme="minorEastAsia" w:hAnsiTheme="minorEastAsia" w:eastAsiaTheme="minorEastAsia" w:cstheme="minorEastAsia"/>
          <w:color w:val="000000"/>
          <w:sz w:val="28"/>
          <w:szCs w:val="28"/>
        </w:rPr>
        <w:t>评审情况记录和说明，包括对供应商的资格审查情况、供应商响应文件审查情况、比选情况、报价情况等；</w:t>
      </w:r>
    </w:p>
    <w:p w14:paraId="0D6FF873">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（4）</w:t>
      </w:r>
      <w:r>
        <w:rPr>
          <w:rFonts w:hint="eastAsia" w:asciiTheme="minorEastAsia" w:hAnsiTheme="minorEastAsia" w:eastAsiaTheme="minorEastAsia" w:cstheme="minorEastAsia"/>
          <w:color w:val="000000"/>
          <w:sz w:val="28"/>
          <w:szCs w:val="28"/>
        </w:rPr>
        <w:t>推荐的成交候选人的名单及理由。</w:t>
      </w:r>
    </w:p>
    <w:p w14:paraId="6BF90977">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报告应当由比选小组全体人员签字认可。比选小组成员对比选报告有异议的，比选小组按照少数服从多数的原则推荐成交候选供应商，采购程序继续进行。对比选报告有异议的比选小组成员，应当在报告上签署不同意见并说明理由，由比选小组书面记录相关情况。比选小组成员拒绝在报告上签字又不书面说明其不同意见和理由的，视为同意比选报告。</w:t>
      </w:r>
    </w:p>
    <w:p w14:paraId="1358B042">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（七）比选异议处理规则</w:t>
      </w:r>
    </w:p>
    <w:p w14:paraId="05F66CC2">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在比选过程中，比选小组成员对响应文件是否符合比选文件规定存在争议的，应当以少数服从多数的原则处理，但不违背比选文件规定。有不同意见的比选小组成员认为认定过程和结果不符合法律法规或者比选文件规定的，应当在比选报告中予以反映。</w:t>
      </w:r>
    </w:p>
    <w:p w14:paraId="7700606F">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（八）供应商澄清、说明</w:t>
      </w:r>
    </w:p>
    <w:p w14:paraId="347C1CB4">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296A125">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2.比选小组要求供应商澄清、说明或者更正响应文件，供应商的回复，通过纸质书面的形式进行。供应商的澄清、说明或者更正应当由法定代表人/负责人或其授权代表签字或者加盖公章。</w:t>
      </w:r>
    </w:p>
    <w:p w14:paraId="0D7832E5">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（九）终止比选采购活动</w:t>
      </w:r>
    </w:p>
    <w:p w14:paraId="47597F55">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出现下列情形之一的，采购人应当终止竞争性比选采购活动，发布项目终止公告并说明原因，重新开展采购活动：</w:t>
      </w:r>
    </w:p>
    <w:p w14:paraId="14653E8D">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因情况变化，不再符合规定的竞争性比选采购方式适用情形的；</w:t>
      </w:r>
    </w:p>
    <w:p w14:paraId="52E170B4">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出现影响采购公正的违法、违规行为的；</w:t>
      </w:r>
    </w:p>
    <w:p w14:paraId="400EBE2C">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在采购过程中符合要求的供应商或者报价未超过采购预算的供应商不足3家的。 </w:t>
      </w:r>
    </w:p>
    <w:p w14:paraId="5B9FF3B5">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1" w:name="_Toc11464"/>
      <w:r>
        <w:rPr>
          <w:rFonts w:hint="eastAsia" w:ascii="黑体" w:hAnsi="黑体" w:eastAsia="黑体" w:cs="黑体"/>
          <w:b w:val="0"/>
          <w:bCs w:val="0"/>
          <w:sz w:val="28"/>
          <w:szCs w:val="28"/>
          <w:lang w:val="zh-CN"/>
        </w:rPr>
        <w:t>三、比选纪律及注意事项</w:t>
      </w:r>
      <w:bookmarkEnd w:id="21"/>
    </w:p>
    <w:p w14:paraId="021309CC">
      <w:pPr>
        <w:pStyle w:val="39"/>
        <w:pageBreakBefore w:val="0"/>
        <w:tabs>
          <w:tab w:val="left" w:pos="1740"/>
        </w:tabs>
        <w:kinsoku/>
        <w:wordWrap/>
        <w:overflowPunct/>
        <w:topLinePunct w:val="0"/>
        <w:autoSpaceDE w:val="0"/>
        <w:autoSpaceDN w:val="0"/>
        <w:bidi w:val="0"/>
        <w:adjustRightInd/>
        <w:snapToGrid/>
        <w:spacing w:line="578" w:lineRule="exact"/>
        <w:ind w:firstLine="54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1.比选小组内部讨论的情况和意见必须保密，任何人不得以任何形式透露给供应商</w:t>
      </w:r>
      <w:r>
        <w:rPr>
          <w:rFonts w:hint="eastAsia" w:asciiTheme="minorEastAsia" w:hAnsiTheme="minorEastAsia" w:eastAsiaTheme="minorEastAsia" w:cstheme="minorEastAsia"/>
          <w:sz w:val="28"/>
          <w:szCs w:val="28"/>
        </w:rPr>
        <w:t>或与供应商有关的单位或个人。</w:t>
      </w:r>
    </w:p>
    <w:p w14:paraId="7301E59D">
      <w:pPr>
        <w:pStyle w:val="39"/>
        <w:pageBreakBefore w:val="0"/>
        <w:tabs>
          <w:tab w:val="left" w:pos="1740"/>
        </w:tabs>
        <w:kinsoku/>
        <w:wordWrap/>
        <w:overflowPunct/>
        <w:topLinePunct w:val="0"/>
        <w:autoSpaceDE w:val="0"/>
        <w:autoSpaceDN w:val="0"/>
        <w:bidi w:val="0"/>
        <w:adjustRightInd/>
        <w:snapToGrid/>
        <w:spacing w:line="578" w:lineRule="exact"/>
        <w:ind w:firstLine="524"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2.在比选过程中，供应商不得以任何形式对比选小组成员进行旨在影响比选结果的</w:t>
      </w:r>
      <w:r>
        <w:rPr>
          <w:rFonts w:hint="eastAsia" w:asciiTheme="minorEastAsia" w:hAnsiTheme="minorEastAsia" w:eastAsiaTheme="minorEastAsia" w:cstheme="minorEastAsia"/>
          <w:sz w:val="28"/>
          <w:szCs w:val="28"/>
        </w:rPr>
        <w:t>私下接触，否则将取消其参与比选的资格。</w:t>
      </w:r>
    </w:p>
    <w:p w14:paraId="5F18463D">
      <w:pPr>
        <w:pStyle w:val="39"/>
        <w:pageBreakBefore w:val="0"/>
        <w:tabs>
          <w:tab w:val="left" w:pos="174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3.对各供应商的商业秘密，比选小组成员应予以保密，不得泄露给其他供应商。</w:t>
      </w:r>
    </w:p>
    <w:p w14:paraId="3A7BE49C">
      <w:pPr>
        <w:pStyle w:val="39"/>
        <w:pageBreakBefore w:val="0"/>
        <w:tabs>
          <w:tab w:val="left" w:pos="174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4.比选小组独立评判，推荐成交候选人，并写出书面报告。</w:t>
      </w:r>
    </w:p>
    <w:p w14:paraId="0F58C67F">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2" w:name="_Toc136"/>
      <w:r>
        <w:rPr>
          <w:rFonts w:hint="eastAsia" w:ascii="黑体" w:hAnsi="黑体" w:eastAsia="黑体" w:cs="黑体"/>
          <w:b w:val="0"/>
          <w:bCs w:val="0"/>
          <w:sz w:val="28"/>
          <w:szCs w:val="28"/>
          <w:lang w:val="zh-CN"/>
        </w:rPr>
        <w:t>四、确定成交供应商</w:t>
      </w:r>
      <w:bookmarkEnd w:id="22"/>
    </w:p>
    <w:p w14:paraId="5C3E4830">
      <w:pPr>
        <w:pStyle w:val="39"/>
        <w:pageBreakBefore w:val="0"/>
        <w:tabs>
          <w:tab w:val="left" w:pos="1800"/>
        </w:tabs>
        <w:kinsoku/>
        <w:wordWrap/>
        <w:overflowPunct/>
        <w:topLinePunct w:val="0"/>
        <w:autoSpaceDE w:val="0"/>
        <w:autoSpaceDN w:val="0"/>
        <w:bidi w:val="0"/>
        <w:adjustRightInd/>
        <w:snapToGrid/>
        <w:spacing w:line="578" w:lineRule="exact"/>
        <w:ind w:firstLine="544" w:firstLineChars="200"/>
        <w:textAlignment w:val="auto"/>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在评审结束后，采购办根据比选小组推荐的供应商顺序确定成交供应商。</w:t>
      </w:r>
    </w:p>
    <w:p w14:paraId="15C1CF2F">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3" w:name="_Toc12836"/>
      <w:r>
        <w:rPr>
          <w:rFonts w:hint="eastAsia" w:ascii="黑体" w:hAnsi="黑体" w:eastAsia="黑体" w:cs="黑体"/>
          <w:b w:val="0"/>
          <w:bCs w:val="0"/>
          <w:sz w:val="28"/>
          <w:szCs w:val="28"/>
          <w:lang w:val="zh-CN"/>
        </w:rPr>
        <w:t>五、成交公告</w:t>
      </w:r>
      <w:bookmarkEnd w:id="23"/>
    </w:p>
    <w:p w14:paraId="6395BF21">
      <w:pPr>
        <w:pStyle w:val="39"/>
        <w:pageBreakBefore w:val="0"/>
        <w:tabs>
          <w:tab w:val="left" w:pos="1800"/>
        </w:tabs>
        <w:kinsoku/>
        <w:wordWrap/>
        <w:overflowPunct/>
        <w:topLinePunct w:val="0"/>
        <w:autoSpaceDE w:val="0"/>
        <w:autoSpaceDN w:val="0"/>
        <w:bidi w:val="0"/>
        <w:adjustRightInd/>
        <w:snapToGrid/>
        <w:spacing w:line="578" w:lineRule="exact"/>
        <w:ind w:firstLine="544" w:firstLineChars="200"/>
        <w:textAlignment w:val="auto"/>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根据比选结果确定的成交供应商在医院官网公示不低于1个工作日。</w:t>
      </w:r>
    </w:p>
    <w:p w14:paraId="040EA169">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4" w:name="_Toc7083"/>
      <w:r>
        <w:rPr>
          <w:rFonts w:hint="eastAsia" w:ascii="黑体" w:hAnsi="黑体" w:eastAsia="黑体" w:cs="黑体"/>
          <w:b w:val="0"/>
          <w:bCs w:val="0"/>
          <w:sz w:val="28"/>
          <w:szCs w:val="28"/>
          <w:lang w:val="zh-CN"/>
        </w:rPr>
        <w:t>六、成交通知书</w:t>
      </w:r>
      <w:bookmarkEnd w:id="24"/>
    </w:p>
    <w:p w14:paraId="5A4C7DB8">
      <w:pPr>
        <w:pStyle w:val="39"/>
        <w:pageBreakBefore w:val="0"/>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1.成交通知书为签订采购合同的依据之一，是合同的有效组成部分。结果公示</w:t>
      </w:r>
      <w:r>
        <w:rPr>
          <w:rFonts w:hint="eastAsia" w:asciiTheme="minorEastAsia" w:hAnsiTheme="minorEastAsia" w:eastAsiaTheme="minorEastAsia" w:cstheme="minorEastAsia"/>
          <w:spacing w:val="-5"/>
          <w:sz w:val="28"/>
          <w:szCs w:val="28"/>
        </w:rPr>
        <w:t>后</w:t>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10"/>
          <w:sz w:val="28"/>
          <w:szCs w:val="28"/>
        </w:rPr>
        <w:t>个工作日内采购人</w:t>
      </w:r>
      <w:r>
        <w:rPr>
          <w:rFonts w:hint="eastAsia" w:asciiTheme="minorEastAsia" w:hAnsiTheme="minorEastAsia" w:eastAsiaTheme="minorEastAsia" w:cstheme="minorEastAsia"/>
          <w:sz w:val="28"/>
          <w:szCs w:val="28"/>
        </w:rPr>
        <w:t>向成交供应商发出成交通知书。</w:t>
      </w:r>
    </w:p>
    <w:p w14:paraId="31763F2B">
      <w:pPr>
        <w:pStyle w:val="39"/>
        <w:pageBreakBefore w:val="0"/>
        <w:tabs>
          <w:tab w:val="left" w:pos="1800"/>
        </w:tabs>
        <w:kinsoku/>
        <w:wordWrap/>
        <w:overflowPunct/>
        <w:topLinePunct w:val="0"/>
        <w:autoSpaceDE w:val="0"/>
        <w:autoSpaceDN w:val="0"/>
        <w:bidi w:val="0"/>
        <w:adjustRightInd/>
        <w:snapToGrid/>
        <w:spacing w:line="578" w:lineRule="exact"/>
        <w:ind w:firstLine="548"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3"/>
          <w:sz w:val="28"/>
          <w:szCs w:val="28"/>
        </w:rPr>
        <w:t>2.成交通知书将作为签订合同的依据。成交通知书对采购人和成交供应商均具有法</w:t>
      </w:r>
      <w:r>
        <w:rPr>
          <w:rFonts w:hint="eastAsia" w:asciiTheme="minorEastAsia" w:hAnsiTheme="minorEastAsia" w:eastAsiaTheme="minorEastAsia" w:cstheme="minorEastAsia"/>
          <w:spacing w:val="-6"/>
          <w:sz w:val="28"/>
          <w:szCs w:val="28"/>
        </w:rPr>
        <w:t>律效力。成交通知书发出后，采购人改变成交结果或成交供应商无正当理由放弃成交项目</w:t>
      </w:r>
      <w:r>
        <w:rPr>
          <w:rFonts w:hint="eastAsia" w:asciiTheme="minorEastAsia" w:hAnsiTheme="minorEastAsia" w:eastAsiaTheme="minorEastAsia" w:cstheme="minorEastAsia"/>
          <w:sz w:val="28"/>
          <w:szCs w:val="28"/>
        </w:rPr>
        <w:t>的，应当依法承担相关责任。</w:t>
      </w:r>
    </w:p>
    <w:p w14:paraId="26D4EB55">
      <w:pPr>
        <w:pStyle w:val="39"/>
        <w:pageBreakBefore w:val="0"/>
        <w:tabs>
          <w:tab w:val="left" w:pos="180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3.采购人不对成交或未成交原因作出解释，也不退还响应文件。</w:t>
      </w:r>
    </w:p>
    <w:p w14:paraId="3BAC3D0D">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5" w:name="_Toc5430"/>
      <w:r>
        <w:rPr>
          <w:rFonts w:hint="eastAsia" w:ascii="黑体" w:hAnsi="黑体" w:eastAsia="黑体" w:cs="黑体"/>
          <w:b w:val="0"/>
          <w:bCs w:val="0"/>
          <w:sz w:val="28"/>
          <w:szCs w:val="28"/>
          <w:lang w:val="zh-CN"/>
        </w:rPr>
        <w:t>七、比选小组在采购活动中承担的义务</w:t>
      </w:r>
      <w:bookmarkEnd w:id="25"/>
    </w:p>
    <w:p w14:paraId="60288B5C">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1.遵守评审工作纪律；</w:t>
      </w:r>
    </w:p>
    <w:p w14:paraId="49990E9B">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12"/>
          <w:sz w:val="28"/>
          <w:szCs w:val="28"/>
        </w:rPr>
        <w:t>按照客观、公正、审慎的原则，根据比选文件规定的评审程序、评审方法和评</w:t>
      </w:r>
      <w:r>
        <w:rPr>
          <w:rFonts w:hint="eastAsia" w:asciiTheme="minorEastAsia" w:hAnsiTheme="minorEastAsia" w:eastAsiaTheme="minorEastAsia" w:cstheme="minorEastAsia"/>
          <w:sz w:val="28"/>
          <w:szCs w:val="28"/>
        </w:rPr>
        <w:t>审标准进行独立评审；</w:t>
      </w:r>
    </w:p>
    <w:p w14:paraId="733CFE65">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3.不得泄露评审文件、评审情况和在评审过程中获悉的商业秘密；</w:t>
      </w:r>
    </w:p>
    <w:p w14:paraId="173ADD3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pacing w:val="-3"/>
          <w:sz w:val="28"/>
          <w:szCs w:val="28"/>
        </w:rPr>
        <w:t>发现比选文件内容违反国家有关强制性规定或者比选文件存在歧义、重大缺陷</w:t>
      </w:r>
      <w:r>
        <w:rPr>
          <w:rFonts w:hint="eastAsia" w:asciiTheme="minorEastAsia" w:hAnsiTheme="minorEastAsia" w:eastAsiaTheme="minorEastAsia" w:cstheme="minorEastAsia"/>
          <w:sz w:val="28"/>
          <w:szCs w:val="28"/>
        </w:rPr>
        <w:t>导致评审工作无法进行时，停止评审并向采购人说明情况；</w:t>
      </w:r>
    </w:p>
    <w:p w14:paraId="482B59F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5.法律、法规和规章规定的其他义务。</w:t>
      </w:r>
    </w:p>
    <w:p w14:paraId="5A23327D">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6" w:name="_Toc12963"/>
      <w:r>
        <w:rPr>
          <w:rFonts w:hint="eastAsia" w:ascii="黑体" w:hAnsi="黑体" w:eastAsia="黑体" w:cs="黑体"/>
          <w:b w:val="0"/>
          <w:bCs w:val="0"/>
          <w:sz w:val="28"/>
          <w:szCs w:val="28"/>
          <w:lang w:val="zh-CN"/>
        </w:rPr>
        <w:t>八、评审专家在采购活动中应当遵守的工作纪律</w:t>
      </w:r>
      <w:bookmarkEnd w:id="26"/>
    </w:p>
    <w:p w14:paraId="0DD6FCA6">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pacing w:val="-8"/>
          <w:sz w:val="28"/>
          <w:szCs w:val="28"/>
        </w:rPr>
        <w:t>不得参加与自己有《中华人民共和国政府采购法实施条例》第九条规定的利害</w:t>
      </w:r>
      <w:r>
        <w:rPr>
          <w:rFonts w:hint="eastAsia" w:asciiTheme="minorEastAsia" w:hAnsiTheme="minorEastAsia" w:eastAsiaTheme="minorEastAsia" w:cstheme="minorEastAsia"/>
          <w:spacing w:val="-7"/>
          <w:sz w:val="28"/>
          <w:szCs w:val="28"/>
        </w:rPr>
        <w:t>关系的采购项目的评审活动。发现参加了与自己有利害关系的评审活动，须主动提出</w:t>
      </w:r>
      <w:r>
        <w:rPr>
          <w:rFonts w:hint="eastAsia" w:asciiTheme="minorEastAsia" w:hAnsiTheme="minorEastAsia" w:eastAsiaTheme="minorEastAsia" w:cstheme="minorEastAsia"/>
          <w:sz w:val="28"/>
          <w:szCs w:val="28"/>
        </w:rPr>
        <w:t>回避，退出评审；</w:t>
      </w:r>
    </w:p>
    <w:p w14:paraId="4540011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9"/>
          <w:sz w:val="28"/>
          <w:szCs w:val="28"/>
        </w:rPr>
        <w:t>评审过程中，不得发表影响评审公正的倾向性、歧视性言论，不得征询或者接</w:t>
      </w:r>
      <w:r>
        <w:rPr>
          <w:rFonts w:hint="eastAsia" w:asciiTheme="minorEastAsia" w:hAnsiTheme="minorEastAsia" w:eastAsiaTheme="minorEastAsia" w:cstheme="minorEastAsia"/>
          <w:spacing w:val="-12"/>
          <w:sz w:val="28"/>
          <w:szCs w:val="28"/>
        </w:rPr>
        <w:t>受采购人的倾向性意见，不得明示或暗示供应商在澄清时表达与其响应文件原义不同的意</w:t>
      </w:r>
      <w:r>
        <w:rPr>
          <w:rFonts w:hint="eastAsia" w:asciiTheme="minorEastAsia" w:hAnsiTheme="minorEastAsia" w:eastAsiaTheme="minorEastAsia" w:cstheme="minorEastAsia"/>
          <w:spacing w:val="-11"/>
          <w:sz w:val="28"/>
          <w:szCs w:val="28"/>
        </w:rPr>
        <w:t>见，不得以比选文件没有规定的评审方法和标准作为评审的依据，不得修改或者细化评审</w:t>
      </w:r>
      <w:r>
        <w:rPr>
          <w:rFonts w:hint="eastAsia" w:asciiTheme="minorEastAsia" w:hAnsiTheme="minorEastAsia" w:eastAsiaTheme="minorEastAsia" w:cstheme="minorEastAsia"/>
          <w:spacing w:val="-12"/>
          <w:sz w:val="28"/>
          <w:szCs w:val="28"/>
        </w:rPr>
        <w:t>程序、评审方法、评审因素和评审标准，不得违规撰写评审意见，不得拒绝对自己的评审</w:t>
      </w:r>
      <w:bookmarkStart w:id="27" w:name="第六章__采购合同（样例）"/>
      <w:bookmarkEnd w:id="27"/>
      <w:r>
        <w:rPr>
          <w:rFonts w:hint="eastAsia" w:asciiTheme="minorEastAsia" w:hAnsiTheme="minorEastAsia" w:eastAsiaTheme="minorEastAsia" w:cstheme="minorEastAsia"/>
          <w:sz w:val="28"/>
          <w:szCs w:val="28"/>
        </w:rPr>
        <w:t>意见签字确认；</w:t>
      </w:r>
    </w:p>
    <w:p w14:paraId="7CC86F99">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pacing w:val="-7"/>
          <w:sz w:val="28"/>
          <w:szCs w:val="28"/>
        </w:rPr>
        <w:t>在评审过程中和评审结束后，不得记录、复制或带走任何评审资料，不得向外</w:t>
      </w:r>
      <w:r>
        <w:rPr>
          <w:rFonts w:hint="eastAsia" w:asciiTheme="minorEastAsia" w:hAnsiTheme="minorEastAsia" w:eastAsiaTheme="minorEastAsia" w:cstheme="minorEastAsia"/>
          <w:sz w:val="28"/>
          <w:szCs w:val="28"/>
        </w:rPr>
        <w:t>界透露评审内容；</w:t>
      </w:r>
    </w:p>
    <w:p w14:paraId="14BCFEA9">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4.评审现场接受现场监督人员的合法监督；</w:t>
      </w:r>
    </w:p>
    <w:p w14:paraId="6BCCFF04">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pacing w:val="-7"/>
          <w:sz w:val="28"/>
          <w:szCs w:val="28"/>
        </w:rPr>
        <w:t>遵守有关廉洁自律规定，不得私下接触供应商，不得收受供应商及有关业务单</w:t>
      </w:r>
      <w:r>
        <w:rPr>
          <w:rFonts w:hint="eastAsia" w:asciiTheme="minorEastAsia" w:hAnsiTheme="minorEastAsia" w:eastAsiaTheme="minorEastAsia" w:cstheme="minorEastAsia"/>
          <w:sz w:val="28"/>
          <w:szCs w:val="28"/>
        </w:rPr>
        <w:t>位和个人的财物或好处。</w:t>
      </w:r>
      <w:bookmarkStart w:id="28" w:name="_bookmark5"/>
      <w:bookmarkEnd w:id="28"/>
    </w:p>
    <w:p w14:paraId="4C1BA8D1">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14:paraId="2F5BC111">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14:paraId="098F81D8">
      <w:pPr>
        <w:pStyle w:val="22"/>
        <w:rPr>
          <w:rFonts w:hint="eastAsia" w:ascii="方正小标宋简体" w:hAnsi="方正小标宋简体" w:eastAsia="方正小标宋简体" w:cs="方正小标宋简体"/>
          <w:b w:val="0"/>
          <w:bCs w:val="0"/>
        </w:rPr>
      </w:pPr>
      <w:bookmarkStart w:id="29" w:name="_Toc29000"/>
      <w:bookmarkStart w:id="30" w:name="_Toc30433"/>
      <w:r>
        <w:rPr>
          <w:rFonts w:hint="eastAsia" w:ascii="方正小标宋简体" w:hAnsi="方正小标宋简体" w:eastAsia="方正小标宋简体" w:cs="方正小标宋简体"/>
          <w:b w:val="0"/>
          <w:bCs w:val="0"/>
          <w:lang w:val="en-US" w:eastAsia="zh-CN"/>
        </w:rPr>
        <w:t>第四章</w:t>
      </w:r>
      <w:r>
        <w:rPr>
          <w:rFonts w:hint="eastAsia" w:ascii="方正小标宋简体" w:hAnsi="方正小标宋简体" w:eastAsia="方正小标宋简体" w:cs="方正小标宋简体"/>
          <w:b w:val="0"/>
          <w:bCs w:val="0"/>
        </w:rPr>
        <w:t xml:space="preserve"> 项目技术、服务、商务及其他</w:t>
      </w:r>
      <w:bookmarkEnd w:id="29"/>
      <w:r>
        <w:rPr>
          <w:rFonts w:hint="eastAsia" w:ascii="方正小标宋简体" w:hAnsi="方正小标宋简体" w:eastAsia="方正小标宋简体" w:cs="方正小标宋简体"/>
          <w:b w:val="0"/>
          <w:bCs w:val="0"/>
        </w:rPr>
        <w:t>要求</w:t>
      </w:r>
      <w:bookmarkEnd w:id="30"/>
    </w:p>
    <w:p w14:paraId="5B17E3C0">
      <w:pPr>
        <w:pStyle w:val="49"/>
        <w:pageBreakBefore w:val="0"/>
        <w:kinsoku/>
        <w:wordWrap/>
        <w:overflowPunct/>
        <w:topLinePunct w:val="0"/>
        <w:autoSpaceDE/>
        <w:autoSpaceDN/>
        <w:bidi w:val="0"/>
        <w:adjustRightInd/>
        <w:snapToGrid/>
        <w:spacing w:line="578" w:lineRule="exact"/>
        <w:ind w:firstLine="560" w:firstLineChars="200"/>
        <w:textAlignment w:val="auto"/>
        <w:rPr>
          <w:rFonts w:hint="default" w:ascii="宋体" w:hAnsi="宋体" w:eastAsia="宋体" w:cs="宋体"/>
          <w:color w:val="000000"/>
          <w:kern w:val="2"/>
          <w:sz w:val="28"/>
          <w:szCs w:val="28"/>
          <w:highlight w:val="none"/>
          <w:lang w:eastAsia="zh-CN"/>
        </w:rPr>
      </w:pPr>
      <w:bookmarkStart w:id="31" w:name="_Toc11429"/>
      <w:r>
        <w:rPr>
          <w:rFonts w:ascii="宋体" w:hAnsi="宋体" w:eastAsia="宋体" w:cs="宋体"/>
          <w:color w:val="000000"/>
          <w:kern w:val="2"/>
          <w:sz w:val="28"/>
          <w:szCs w:val="28"/>
          <w:highlight w:val="none"/>
          <w:lang w:eastAsia="zh-CN"/>
        </w:rPr>
        <w:t>（注：带“★”的参数需求为实质性要求，供应商必须响应并满足的参数需求。）</w:t>
      </w:r>
    </w:p>
    <w:p w14:paraId="3F331118">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2" w:name="_Toc25741"/>
      <w:r>
        <w:rPr>
          <w:rFonts w:hint="eastAsia" w:ascii="黑体" w:hAnsi="黑体" w:eastAsia="黑体" w:cs="黑体"/>
          <w:b w:val="0"/>
          <w:bCs w:val="0"/>
          <w:sz w:val="28"/>
          <w:szCs w:val="28"/>
          <w:lang w:val="zh-CN"/>
        </w:rPr>
        <w:t>一、项目概况</w:t>
      </w:r>
      <w:bookmarkEnd w:id="31"/>
      <w:bookmarkEnd w:id="32"/>
      <w:bookmarkStart w:id="33" w:name="_Toc30531"/>
    </w:p>
    <w:p w14:paraId="4B60FD5B">
      <w:pPr>
        <w:pageBreakBefore w:val="0"/>
        <w:kinsoku/>
        <w:wordWrap/>
        <w:overflowPunct/>
        <w:topLinePunct w:val="0"/>
        <w:autoSpaceDE/>
        <w:autoSpaceDN/>
        <w:bidi w:val="0"/>
        <w:adjustRightInd/>
        <w:snapToGrid/>
        <w:spacing w:line="578" w:lineRule="exact"/>
        <w:ind w:firstLine="560" w:firstLineChars="200"/>
        <w:jc w:val="left"/>
        <w:textAlignment w:val="auto"/>
        <w:rPr>
          <w:rFonts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项目名称：病房劳务服务临时采购项目</w:t>
      </w:r>
    </w:p>
    <w:p w14:paraId="47EA7014">
      <w:pPr>
        <w:pageBreakBefore w:val="0"/>
        <w:kinsoku/>
        <w:wordWrap/>
        <w:overflowPunct/>
        <w:topLinePunct w:val="0"/>
        <w:autoSpaceDE/>
        <w:autoSpaceDN/>
        <w:bidi w:val="0"/>
        <w:adjustRightInd/>
        <w:snapToGrid/>
        <w:spacing w:line="578" w:lineRule="exact"/>
        <w:ind w:firstLine="560" w:firstLineChars="200"/>
        <w:jc w:val="left"/>
        <w:textAlignment w:val="auto"/>
        <w:rPr>
          <w:rFonts w:asciiTheme="minorEastAsia" w:hAnsiTheme="minorEastAsia"/>
          <w:color w:val="000000" w:themeColor="text1"/>
          <w:sz w:val="28"/>
          <w:szCs w:val="28"/>
          <w:highlight w:val="none"/>
          <w:lang w:val="zh-CN"/>
          <w14:textFill>
            <w14:solidFill>
              <w14:schemeClr w14:val="tx1"/>
            </w14:solidFill>
          </w14:textFill>
        </w:rPr>
      </w:pPr>
      <w:r>
        <w:rPr>
          <w:rFonts w:hint="eastAsia" w:asciiTheme="minorEastAsia" w:hAnsiTheme="minorEastAsia"/>
          <w:color w:val="000000" w:themeColor="text1"/>
          <w:sz w:val="28"/>
          <w:szCs w:val="28"/>
          <w:highlight w:val="none"/>
          <w:lang w:eastAsia="zh-CN"/>
          <w14:textFill>
            <w14:solidFill>
              <w14:schemeClr w14:val="tx1"/>
            </w14:solidFill>
          </w14:textFill>
        </w:rPr>
        <w:t>主要工作职责：</w:t>
      </w:r>
      <w:r>
        <w:rPr>
          <w:rFonts w:hint="eastAsia" w:asciiTheme="minorEastAsia" w:hAnsiTheme="minorEastAsia"/>
          <w:color w:val="000000" w:themeColor="text1"/>
          <w:sz w:val="28"/>
          <w:szCs w:val="28"/>
          <w:highlight w:val="none"/>
          <w14:textFill>
            <w14:solidFill>
              <w14:schemeClr w14:val="tx1"/>
            </w14:solidFill>
          </w14:textFill>
        </w:rPr>
        <w:t>负责日间取药送药、标本送检、床单元准备等工作。</w:t>
      </w:r>
    </w:p>
    <w:p w14:paraId="5CD9D35A">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4" w:name="_Toc31877"/>
      <w:r>
        <w:rPr>
          <w:rFonts w:hint="eastAsia" w:ascii="黑体" w:hAnsi="黑体" w:eastAsia="黑体" w:cs="黑体"/>
          <w:b w:val="0"/>
          <w:bCs w:val="0"/>
          <w:sz w:val="28"/>
          <w:szCs w:val="28"/>
          <w:lang w:val="zh-CN"/>
        </w:rPr>
        <w:t>二、</w:t>
      </w:r>
      <w:bookmarkEnd w:id="33"/>
      <w:r>
        <w:rPr>
          <w:rFonts w:hint="eastAsia" w:ascii="黑体" w:hAnsi="黑体" w:eastAsia="黑体" w:cs="黑体"/>
          <w:b w:val="0"/>
          <w:bCs w:val="0"/>
          <w:sz w:val="28"/>
          <w:szCs w:val="28"/>
          <w:lang w:val="zh-CN"/>
        </w:rPr>
        <w:t>服务内容及服务要求</w:t>
      </w:r>
      <w:bookmarkEnd w:id="34"/>
    </w:p>
    <w:p w14:paraId="1B34F602">
      <w:pPr>
        <w:pStyle w:val="5"/>
        <w:pageBreakBefore w:val="0"/>
        <w:kinsoku/>
        <w:wordWrap/>
        <w:overflowPunct/>
        <w:topLinePunct w:val="0"/>
        <w:autoSpaceDE/>
        <w:autoSpaceDN/>
        <w:bidi w:val="0"/>
        <w:adjustRightInd/>
        <w:snapToGrid/>
        <w:spacing w:before="0" w:after="0" w:line="578" w:lineRule="exact"/>
        <w:ind w:firstLine="562" w:firstLineChars="200"/>
        <w:textAlignment w:val="auto"/>
        <w:rPr>
          <w:rFonts w:ascii="宋体" w:hAnsi="宋体" w:cs="宋体"/>
          <w:color w:val="000000"/>
          <w:sz w:val="28"/>
          <w:szCs w:val="28"/>
          <w:highlight w:val="none"/>
          <w:lang w:val="zh-CN"/>
        </w:rPr>
      </w:pPr>
      <w:bookmarkStart w:id="35" w:name="_Toc8471"/>
      <w:r>
        <w:rPr>
          <w:rFonts w:hint="eastAsia" w:ascii="宋体" w:hAnsi="宋体" w:cs="宋体"/>
          <w:color w:val="000000"/>
          <w:sz w:val="28"/>
          <w:szCs w:val="28"/>
          <w:highlight w:val="none"/>
        </w:rPr>
        <w:t>1、服务</w:t>
      </w:r>
      <w:r>
        <w:rPr>
          <w:rFonts w:hint="eastAsia" w:ascii="宋体" w:hAnsi="宋体" w:cs="宋体"/>
          <w:color w:val="000000"/>
          <w:sz w:val="28"/>
          <w:szCs w:val="28"/>
          <w:highlight w:val="none"/>
          <w:lang w:val="zh-CN"/>
        </w:rPr>
        <w:t>内容</w:t>
      </w:r>
      <w:bookmarkEnd w:id="35"/>
    </w:p>
    <w:tbl>
      <w:tblPr>
        <w:tblStyle w:val="24"/>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3678"/>
        <w:gridCol w:w="886"/>
        <w:gridCol w:w="1732"/>
        <w:gridCol w:w="1807"/>
      </w:tblGrid>
      <w:tr w14:paraId="2370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822" w:type="dxa"/>
          </w:tcPr>
          <w:p w14:paraId="7287FD82">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序号</w:t>
            </w:r>
          </w:p>
        </w:tc>
        <w:tc>
          <w:tcPr>
            <w:tcW w:w="3678" w:type="dxa"/>
          </w:tcPr>
          <w:p w14:paraId="3FE9159E">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rPr>
              <w:t>项目</w:t>
            </w:r>
            <w:r>
              <w:rPr>
                <w:rFonts w:hint="eastAsia" w:ascii="宋体" w:hAnsi="宋体" w:cs="宋体"/>
                <w:color w:val="000000"/>
                <w:sz w:val="28"/>
                <w:szCs w:val="28"/>
                <w:highlight w:val="none"/>
                <w:lang w:val="zh-CN"/>
              </w:rPr>
              <w:t>名称</w:t>
            </w:r>
          </w:p>
        </w:tc>
        <w:tc>
          <w:tcPr>
            <w:tcW w:w="886" w:type="dxa"/>
          </w:tcPr>
          <w:p w14:paraId="52E3D89F">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数量</w:t>
            </w:r>
          </w:p>
        </w:tc>
        <w:tc>
          <w:tcPr>
            <w:tcW w:w="1732" w:type="dxa"/>
          </w:tcPr>
          <w:p w14:paraId="6F7F145B">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控制单价</w:t>
            </w:r>
          </w:p>
          <w:p w14:paraId="6AA33095">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（万元）</w:t>
            </w:r>
          </w:p>
        </w:tc>
        <w:tc>
          <w:tcPr>
            <w:tcW w:w="1807" w:type="dxa"/>
          </w:tcPr>
          <w:p w14:paraId="3784EA19">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控制总价</w:t>
            </w:r>
          </w:p>
          <w:p w14:paraId="42D824AD">
            <w:pPr>
              <w:tabs>
                <w:tab w:val="left" w:pos="180"/>
              </w:tabs>
              <w:spacing w:line="500" w:lineRule="exact"/>
              <w:jc w:val="center"/>
              <w:rPr>
                <w:rFonts w:ascii="宋体" w:hAnsi="宋体" w:cs="宋体"/>
                <w:color w:val="000000"/>
                <w:sz w:val="28"/>
                <w:szCs w:val="28"/>
                <w:highlight w:val="none"/>
                <w:lang w:val="zh-CN"/>
              </w:rPr>
            </w:pPr>
            <w:r>
              <w:rPr>
                <w:rFonts w:hint="eastAsia" w:ascii="宋体" w:hAnsi="宋体" w:cs="宋体"/>
                <w:color w:val="000000"/>
                <w:sz w:val="28"/>
                <w:szCs w:val="28"/>
                <w:highlight w:val="none"/>
                <w:lang w:val="zh-CN"/>
              </w:rPr>
              <w:t>（万元）</w:t>
            </w:r>
          </w:p>
        </w:tc>
      </w:tr>
      <w:tr w14:paraId="7E35A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22" w:type="dxa"/>
          </w:tcPr>
          <w:p w14:paraId="721DF3A4">
            <w:pPr>
              <w:tabs>
                <w:tab w:val="left" w:pos="180"/>
              </w:tabs>
              <w:spacing w:line="500" w:lineRule="exact"/>
              <w:jc w:val="center"/>
              <w:rPr>
                <w:rFonts w:ascii="宋体" w:hAnsi="宋体" w:cs="宋体"/>
                <w:color w:val="000000"/>
                <w:sz w:val="28"/>
                <w:szCs w:val="28"/>
                <w:highlight w:val="none"/>
              </w:rPr>
            </w:pPr>
            <w:r>
              <w:rPr>
                <w:rFonts w:hint="eastAsia" w:ascii="宋体" w:hAnsi="宋体" w:cs="宋体"/>
                <w:color w:val="000000"/>
                <w:sz w:val="28"/>
                <w:szCs w:val="28"/>
                <w:highlight w:val="none"/>
              </w:rPr>
              <w:t>1</w:t>
            </w:r>
          </w:p>
        </w:tc>
        <w:tc>
          <w:tcPr>
            <w:tcW w:w="3678" w:type="dxa"/>
          </w:tcPr>
          <w:p w14:paraId="3790F9A5">
            <w:pPr>
              <w:spacing w:line="560" w:lineRule="exact"/>
              <w:jc w:val="left"/>
              <w:rPr>
                <w:rFonts w:ascii="宋体" w:hAnsi="宋体" w:cs="宋体"/>
                <w:color w:val="000000"/>
                <w:sz w:val="28"/>
                <w:szCs w:val="28"/>
                <w:highlight w:val="none"/>
              </w:rPr>
            </w:pPr>
            <w:r>
              <w:rPr>
                <w:rFonts w:hint="eastAsia" w:ascii="宋体" w:hAnsi="宋体" w:cs="宋体"/>
                <w:color w:val="000000"/>
                <w:sz w:val="28"/>
                <w:szCs w:val="28"/>
                <w:highlight w:val="none"/>
                <w:lang w:val="zh-CN"/>
              </w:rPr>
              <w:t>病房劳务服务</w:t>
            </w:r>
            <w:r>
              <w:rPr>
                <w:rFonts w:hint="eastAsia" w:asciiTheme="minorEastAsia" w:hAnsiTheme="minorEastAsia"/>
                <w:color w:val="000000" w:themeColor="text1"/>
                <w:sz w:val="28"/>
                <w:szCs w:val="28"/>
                <w:highlight w:val="none"/>
                <w14:textFill>
                  <w14:solidFill>
                    <w14:schemeClr w14:val="tx1"/>
                  </w14:solidFill>
                </w14:textFill>
              </w:rPr>
              <w:t>临时采购项目</w:t>
            </w:r>
          </w:p>
        </w:tc>
        <w:tc>
          <w:tcPr>
            <w:tcW w:w="886" w:type="dxa"/>
          </w:tcPr>
          <w:p w14:paraId="46417DFE">
            <w:pPr>
              <w:tabs>
                <w:tab w:val="left" w:pos="180"/>
              </w:tabs>
              <w:spacing w:line="500" w:lineRule="exact"/>
              <w:jc w:val="center"/>
              <w:rPr>
                <w:rFonts w:ascii="宋体" w:hAnsi="宋体" w:cs="宋体"/>
                <w:color w:val="000000"/>
                <w:sz w:val="28"/>
                <w:szCs w:val="28"/>
                <w:highlight w:val="none"/>
              </w:rPr>
            </w:pPr>
            <w:r>
              <w:rPr>
                <w:rFonts w:hint="eastAsia" w:ascii="宋体" w:hAnsi="宋体" w:cs="宋体"/>
                <w:color w:val="000000"/>
                <w:sz w:val="28"/>
                <w:szCs w:val="28"/>
                <w:highlight w:val="none"/>
              </w:rPr>
              <w:t>1</w:t>
            </w:r>
          </w:p>
        </w:tc>
        <w:tc>
          <w:tcPr>
            <w:tcW w:w="1732" w:type="dxa"/>
          </w:tcPr>
          <w:p w14:paraId="5A8C653B">
            <w:pPr>
              <w:tabs>
                <w:tab w:val="left" w:pos="180"/>
              </w:tabs>
              <w:spacing w:line="500" w:lineRule="exact"/>
              <w:jc w:val="center"/>
              <w:rPr>
                <w:rFonts w:ascii="宋体" w:hAnsi="宋体" w:cs="宋体"/>
                <w:color w:val="000000"/>
                <w:sz w:val="28"/>
                <w:szCs w:val="28"/>
                <w:highlight w:val="none"/>
              </w:rPr>
            </w:pPr>
            <w:r>
              <w:rPr>
                <w:rFonts w:hint="eastAsia" w:ascii="宋体" w:hAnsi="宋体" w:cs="宋体"/>
                <w:color w:val="000000"/>
                <w:sz w:val="28"/>
                <w:szCs w:val="28"/>
                <w:highlight w:val="none"/>
              </w:rPr>
              <w:t>14.3178</w:t>
            </w:r>
          </w:p>
        </w:tc>
        <w:tc>
          <w:tcPr>
            <w:tcW w:w="1807" w:type="dxa"/>
          </w:tcPr>
          <w:p w14:paraId="76A82610">
            <w:pPr>
              <w:tabs>
                <w:tab w:val="left" w:pos="180"/>
              </w:tabs>
              <w:spacing w:line="500" w:lineRule="exact"/>
              <w:jc w:val="center"/>
              <w:rPr>
                <w:rFonts w:ascii="宋体" w:hAnsi="宋体" w:cs="宋体"/>
                <w:color w:val="000000"/>
                <w:sz w:val="28"/>
                <w:szCs w:val="28"/>
                <w:highlight w:val="none"/>
              </w:rPr>
            </w:pPr>
            <w:r>
              <w:rPr>
                <w:rFonts w:hint="eastAsia" w:ascii="宋体" w:hAnsi="宋体" w:cs="宋体"/>
                <w:color w:val="000000"/>
                <w:sz w:val="28"/>
                <w:szCs w:val="28"/>
                <w:highlight w:val="none"/>
              </w:rPr>
              <w:t>14.3178</w:t>
            </w:r>
          </w:p>
        </w:tc>
      </w:tr>
    </w:tbl>
    <w:p w14:paraId="06772C54">
      <w:pPr>
        <w:pStyle w:val="5"/>
        <w:ind w:firstLine="562" w:firstLineChars="200"/>
        <w:rPr>
          <w:rFonts w:hint="eastAsia" w:ascii="宋体" w:hAnsi="宋体" w:eastAsia="宋体" w:cs="宋体"/>
          <w:color w:val="000000"/>
          <w:sz w:val="28"/>
          <w:szCs w:val="28"/>
          <w:highlight w:val="none"/>
          <w:lang w:eastAsia="zh-CN"/>
        </w:rPr>
      </w:pPr>
      <w:bookmarkStart w:id="36" w:name="_Toc32679"/>
      <w:r>
        <w:rPr>
          <w:rFonts w:ascii="宋体" w:hAnsi="宋体" w:eastAsia="宋体" w:cs="宋体"/>
          <w:color w:val="000000"/>
          <w:kern w:val="2"/>
          <w:sz w:val="28"/>
          <w:szCs w:val="28"/>
          <w:highlight w:val="none"/>
          <w:lang w:eastAsia="zh-CN"/>
        </w:rPr>
        <w:t>★</w:t>
      </w:r>
      <w:r>
        <w:rPr>
          <w:rFonts w:hint="eastAsia" w:ascii="宋体" w:hAnsi="宋体" w:cs="宋体"/>
          <w:color w:val="000000"/>
          <w:sz w:val="28"/>
          <w:szCs w:val="28"/>
          <w:highlight w:val="none"/>
        </w:rPr>
        <w:t>2、服务要求</w:t>
      </w:r>
      <w:r>
        <w:rPr>
          <w:rFonts w:hint="eastAsia" w:ascii="宋体" w:hAnsi="宋体" w:cs="宋体"/>
          <w:color w:val="000000"/>
          <w:sz w:val="28"/>
          <w:szCs w:val="28"/>
          <w:highlight w:val="none"/>
          <w:lang w:eastAsia="zh-CN"/>
        </w:rPr>
        <w:t>（</w:t>
      </w:r>
      <w:r>
        <w:rPr>
          <w:rFonts w:hint="eastAsia" w:ascii="宋体" w:hAnsi="宋体" w:cs="宋体"/>
          <w:color w:val="000000"/>
          <w:sz w:val="28"/>
          <w:szCs w:val="28"/>
          <w:highlight w:val="none"/>
          <w:lang w:val="en-US" w:eastAsia="zh-CN"/>
        </w:rPr>
        <w:t>实质性要求</w:t>
      </w:r>
      <w:r>
        <w:rPr>
          <w:rFonts w:hint="eastAsia" w:ascii="宋体" w:hAnsi="宋体" w:cs="宋体"/>
          <w:color w:val="000000"/>
          <w:sz w:val="28"/>
          <w:szCs w:val="28"/>
          <w:highlight w:val="none"/>
          <w:lang w:eastAsia="zh-CN"/>
        </w:rPr>
        <w:t>）</w:t>
      </w:r>
      <w:bookmarkEnd w:id="36"/>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70"/>
        <w:gridCol w:w="8242"/>
      </w:tblGrid>
      <w:tr w14:paraId="6BE20A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70" w:type="dxa"/>
          </w:tcPr>
          <w:p w14:paraId="3C1BB40C">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bCs/>
                <w:sz w:val="24"/>
                <w:szCs w:val="24"/>
                <w:highlight w:val="none"/>
              </w:rPr>
            </w:pPr>
            <w:r>
              <w:rPr>
                <w:rFonts w:asciiTheme="minorEastAsia" w:hAnsiTheme="minorEastAsia" w:cstheme="minorEastAsia"/>
                <w:b/>
                <w:bCs/>
                <w:sz w:val="24"/>
                <w:szCs w:val="24"/>
                <w:highlight w:val="none"/>
              </w:rPr>
              <w:t>序号</w:t>
            </w:r>
          </w:p>
        </w:tc>
        <w:tc>
          <w:tcPr>
            <w:tcW w:w="8242" w:type="dxa"/>
          </w:tcPr>
          <w:p w14:paraId="5AB3572F">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bCs/>
                <w:sz w:val="24"/>
                <w:szCs w:val="24"/>
                <w:highlight w:val="none"/>
              </w:rPr>
            </w:pPr>
            <w:r>
              <w:rPr>
                <w:rFonts w:asciiTheme="minorEastAsia" w:hAnsiTheme="minorEastAsia" w:cstheme="minorEastAsia"/>
                <w:b/>
                <w:bCs/>
                <w:sz w:val="24"/>
                <w:szCs w:val="24"/>
                <w:highlight w:val="none"/>
              </w:rPr>
              <w:t>技术参数与性能指标</w:t>
            </w:r>
          </w:p>
        </w:tc>
      </w:tr>
      <w:tr w14:paraId="7FEF4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70" w:type="dxa"/>
          </w:tcPr>
          <w:p w14:paraId="350E684E">
            <w:pPr>
              <w:pStyle w:val="49"/>
              <w:keepNext w:val="0"/>
              <w:keepLines w:val="0"/>
              <w:pageBreakBefore w:val="0"/>
              <w:kinsoku/>
              <w:wordWrap/>
              <w:overflowPunct/>
              <w:topLinePunct w:val="0"/>
              <w:autoSpaceDE/>
              <w:autoSpaceDN/>
              <w:bidi w:val="0"/>
              <w:adjustRightInd/>
              <w:snapToGrid/>
              <w:spacing w:line="264" w:lineRule="auto"/>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w:t>
            </w:r>
          </w:p>
        </w:tc>
        <w:tc>
          <w:tcPr>
            <w:tcW w:w="8242" w:type="dxa"/>
          </w:tcPr>
          <w:p w14:paraId="490BFEE3">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一、中央运送服务范围</w:t>
            </w:r>
          </w:p>
          <w:p w14:paraId="692CFED8">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w:t>
            </w:r>
            <w:r>
              <w:rPr>
                <w:rFonts w:asciiTheme="minorEastAsia" w:hAnsiTheme="minorEastAsia" w:cstheme="minorEastAsia"/>
                <w:sz w:val="24"/>
                <w:szCs w:val="24"/>
                <w:highlight w:val="none"/>
                <w:lang w:eastAsia="zh-CN"/>
              </w:rPr>
              <w:t>胸心外科、肾病内科、感染科、消化内科、五官科及骨科</w:t>
            </w:r>
            <w:r>
              <w:rPr>
                <w:rFonts w:asciiTheme="minorEastAsia" w:hAnsiTheme="minorEastAsia" w:cstheme="minorEastAsia"/>
                <w:sz w:val="24"/>
                <w:szCs w:val="24"/>
                <w:highlight w:val="none"/>
              </w:rPr>
              <w:t>的运送工作。</w:t>
            </w:r>
          </w:p>
          <w:p w14:paraId="02FF3468">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二、中央运送服务内容</w:t>
            </w:r>
          </w:p>
          <w:p w14:paraId="408858FE">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1.在护士长的领导及护士的指导下进行工作。</w:t>
            </w:r>
          </w:p>
          <w:p w14:paraId="725D6D1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2.做好被服、病房物资的管理，每日负责与洗浆房工作人员交接清洗被服并记录。</w:t>
            </w:r>
          </w:p>
          <w:p w14:paraId="4B4B6C4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3.协助护士做好安置新入、转床患者床单元准备、整理工作。</w:t>
            </w:r>
          </w:p>
          <w:p w14:paraId="6E236DAF">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4.及时收集、运送各项检验标本。</w:t>
            </w:r>
          </w:p>
          <w:p w14:paraId="2F856703">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5.做好普通库房的物质管理(洁具、被服)、清洁工作(每周一次)。</w:t>
            </w:r>
          </w:p>
          <w:p w14:paraId="3FDC5EE2">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6.定期整理分类存放(每月第一周星期一清理)，保持库房整洁。</w:t>
            </w:r>
          </w:p>
          <w:p w14:paraId="0BE27334">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7.做好药房药品的领取与运送工作</w:t>
            </w:r>
          </w:p>
          <w:p w14:paraId="64CDC8E8">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lang w:eastAsia="zh-CN"/>
              </w:rPr>
              <w:t>8.科室</w:t>
            </w:r>
            <w:r>
              <w:rPr>
                <w:rFonts w:hint="default" w:asciiTheme="minorEastAsia" w:hAnsiTheme="minorEastAsia" w:cstheme="minorEastAsia"/>
                <w:sz w:val="24"/>
                <w:szCs w:val="24"/>
                <w:highlight w:val="none"/>
                <w:lang w:eastAsia="zh-CN"/>
              </w:rPr>
              <w:t>及护士长安排的其他工作</w:t>
            </w:r>
            <w:r>
              <w:rPr>
                <w:rFonts w:asciiTheme="minorEastAsia" w:hAnsiTheme="minorEastAsia" w:cstheme="minorEastAsia"/>
                <w:sz w:val="24"/>
                <w:szCs w:val="24"/>
                <w:highlight w:val="none"/>
              </w:rPr>
              <w:t>。</w:t>
            </w:r>
          </w:p>
          <w:p w14:paraId="13A4D5EE">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b/>
                <w:sz w:val="24"/>
                <w:szCs w:val="24"/>
                <w:highlight w:val="none"/>
              </w:rPr>
              <w:t>三、中央运送工作流程</w:t>
            </w:r>
          </w:p>
          <w:tbl>
            <w:tblPr>
              <w:tblStyle w:val="24"/>
              <w:tblW w:w="7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3176"/>
              <w:gridCol w:w="2297"/>
            </w:tblGrid>
            <w:tr w14:paraId="77981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4A708775">
                  <w:pPr>
                    <w:pStyle w:val="49"/>
                    <w:keepNext w:val="0"/>
                    <w:keepLines w:val="0"/>
                    <w:pageBreakBefore w:val="0"/>
                    <w:kinsoku/>
                    <w:wordWrap/>
                    <w:overflowPunct/>
                    <w:topLinePunct w:val="0"/>
                    <w:autoSpaceDE/>
                    <w:autoSpaceDN/>
                    <w:bidi w:val="0"/>
                    <w:adjustRightInd/>
                    <w:snapToGrid/>
                    <w:spacing w:line="264" w:lineRule="auto"/>
                    <w:ind w:firstLine="133"/>
                    <w:jc w:val="center"/>
                    <w:textAlignment w:val="auto"/>
                    <w:rPr>
                      <w:rFonts w:hint="default" w:asciiTheme="minorEastAsia" w:hAnsiTheme="minorEastAsia" w:cstheme="minorEastAsia"/>
                      <w:b/>
                      <w:bCs/>
                      <w:sz w:val="24"/>
                      <w:szCs w:val="24"/>
                      <w:highlight w:val="none"/>
                    </w:rPr>
                  </w:pPr>
                  <w:r>
                    <w:rPr>
                      <w:rFonts w:asciiTheme="minorEastAsia" w:hAnsiTheme="minorEastAsia" w:cstheme="minorEastAsia"/>
                      <w:b/>
                      <w:bCs/>
                      <w:sz w:val="24"/>
                      <w:szCs w:val="24"/>
                      <w:highlight w:val="none"/>
                    </w:rPr>
                    <w:t>工作时间</w:t>
                  </w:r>
                </w:p>
              </w:tc>
              <w:tc>
                <w:tcPr>
                  <w:tcW w:w="3176" w:type="dxa"/>
                  <w:vAlign w:val="center"/>
                </w:tcPr>
                <w:p w14:paraId="7DFE07AB">
                  <w:pPr>
                    <w:pStyle w:val="49"/>
                    <w:keepNext w:val="0"/>
                    <w:keepLines w:val="0"/>
                    <w:pageBreakBefore w:val="0"/>
                    <w:kinsoku/>
                    <w:wordWrap/>
                    <w:overflowPunct/>
                    <w:topLinePunct w:val="0"/>
                    <w:autoSpaceDE/>
                    <w:autoSpaceDN/>
                    <w:bidi w:val="0"/>
                    <w:adjustRightInd/>
                    <w:snapToGrid/>
                    <w:spacing w:line="264" w:lineRule="auto"/>
                    <w:ind w:left="246" w:hanging="246" w:hangingChars="102"/>
                    <w:jc w:val="center"/>
                    <w:textAlignment w:val="auto"/>
                    <w:rPr>
                      <w:rFonts w:hint="default" w:asciiTheme="minorEastAsia" w:hAnsiTheme="minorEastAsia" w:cstheme="minorEastAsia"/>
                      <w:b/>
                      <w:bCs/>
                      <w:sz w:val="24"/>
                      <w:szCs w:val="24"/>
                      <w:highlight w:val="none"/>
                    </w:rPr>
                  </w:pPr>
                  <w:r>
                    <w:rPr>
                      <w:rFonts w:asciiTheme="minorEastAsia" w:hAnsiTheme="minorEastAsia" w:cstheme="minorEastAsia"/>
                      <w:b/>
                      <w:bCs/>
                      <w:sz w:val="24"/>
                      <w:szCs w:val="24"/>
                      <w:highlight w:val="none"/>
                    </w:rPr>
                    <w:t>工作内容</w:t>
                  </w:r>
                </w:p>
              </w:tc>
              <w:tc>
                <w:tcPr>
                  <w:tcW w:w="2297" w:type="dxa"/>
                  <w:vAlign w:val="center"/>
                </w:tcPr>
                <w:p w14:paraId="596A9820">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bCs/>
                      <w:sz w:val="24"/>
                      <w:szCs w:val="24"/>
                      <w:highlight w:val="none"/>
                    </w:rPr>
                  </w:pPr>
                  <w:r>
                    <w:rPr>
                      <w:rFonts w:asciiTheme="minorEastAsia" w:hAnsiTheme="minorEastAsia" w:cstheme="minorEastAsia"/>
                      <w:b/>
                      <w:bCs/>
                      <w:sz w:val="24"/>
                      <w:szCs w:val="24"/>
                      <w:highlight w:val="none"/>
                    </w:rPr>
                    <w:t>备注</w:t>
                  </w:r>
                </w:p>
              </w:tc>
            </w:tr>
            <w:tr w14:paraId="32244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35CFF276">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07:20-08:30</w:t>
                  </w:r>
                </w:p>
              </w:tc>
              <w:tc>
                <w:tcPr>
                  <w:tcW w:w="3176" w:type="dxa"/>
                  <w:vAlign w:val="center"/>
                </w:tcPr>
                <w:p w14:paraId="503AB8C9">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收集血标本送到检验科核对登记并记录准确</w:t>
                  </w:r>
                </w:p>
              </w:tc>
              <w:tc>
                <w:tcPr>
                  <w:tcW w:w="2297" w:type="dxa"/>
                  <w:vAlign w:val="center"/>
                </w:tcPr>
                <w:p w14:paraId="389BE73D">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在护士长的指导下</w:t>
                  </w:r>
                </w:p>
              </w:tc>
            </w:tr>
            <w:tr w14:paraId="5DCE3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50A5938C">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08:30-09:30</w:t>
                  </w:r>
                </w:p>
              </w:tc>
              <w:tc>
                <w:tcPr>
                  <w:tcW w:w="3176" w:type="dxa"/>
                  <w:vAlign w:val="center"/>
                </w:tcPr>
                <w:p w14:paraId="44220327">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陪同普通患者检查并做好记录</w:t>
                  </w:r>
                </w:p>
              </w:tc>
              <w:tc>
                <w:tcPr>
                  <w:tcW w:w="2297" w:type="dxa"/>
                  <w:vAlign w:val="center"/>
                </w:tcPr>
                <w:p w14:paraId="0DE974D2">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危重患者要有医护人员陪同检查，护工方可运送</w:t>
                  </w:r>
                </w:p>
              </w:tc>
            </w:tr>
            <w:tr w14:paraId="6C320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3EA05B93">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09:30-10:30</w:t>
                  </w:r>
                </w:p>
              </w:tc>
              <w:tc>
                <w:tcPr>
                  <w:tcW w:w="3176" w:type="dxa"/>
                  <w:vAlign w:val="center"/>
                </w:tcPr>
                <w:p w14:paraId="5FE9A965">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做好被服、病房物质的管理，与洗浆房工作人员交接并做好记录</w:t>
                  </w:r>
                </w:p>
              </w:tc>
              <w:tc>
                <w:tcPr>
                  <w:tcW w:w="2297" w:type="dxa"/>
                  <w:vAlign w:val="center"/>
                </w:tcPr>
                <w:p w14:paraId="534F1D02">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详细记录并存档</w:t>
                  </w:r>
                </w:p>
              </w:tc>
            </w:tr>
            <w:tr w14:paraId="41C84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7FFB7098">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10:30-11:30</w:t>
                  </w:r>
                </w:p>
              </w:tc>
              <w:tc>
                <w:tcPr>
                  <w:tcW w:w="3176" w:type="dxa"/>
                  <w:vAlign w:val="center"/>
                </w:tcPr>
                <w:p w14:paraId="285B70AB">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做好安置新入、转床患者工作</w:t>
                  </w:r>
                </w:p>
              </w:tc>
              <w:tc>
                <w:tcPr>
                  <w:tcW w:w="2297" w:type="dxa"/>
                  <w:vAlign w:val="center"/>
                </w:tcPr>
                <w:p w14:paraId="6B3E55FB">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协助护士工作转床</w:t>
                  </w:r>
                </w:p>
              </w:tc>
            </w:tr>
            <w:tr w14:paraId="7189A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463F8A15">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11:30-14:00</w:t>
                  </w:r>
                </w:p>
              </w:tc>
              <w:tc>
                <w:tcPr>
                  <w:tcW w:w="3176" w:type="dxa"/>
                  <w:vAlign w:val="center"/>
                </w:tcPr>
                <w:p w14:paraId="24DA6242">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做好中午值日工作</w:t>
                  </w:r>
                </w:p>
              </w:tc>
              <w:tc>
                <w:tcPr>
                  <w:tcW w:w="2297" w:type="dxa"/>
                  <w:vAlign w:val="center"/>
                </w:tcPr>
                <w:p w14:paraId="37E0CB56">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随叫随到</w:t>
                  </w:r>
                </w:p>
              </w:tc>
            </w:tr>
            <w:tr w14:paraId="4B2A6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5BECDB5E">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14:00-15:00</w:t>
                  </w:r>
                </w:p>
              </w:tc>
              <w:tc>
                <w:tcPr>
                  <w:tcW w:w="3176" w:type="dxa"/>
                  <w:vAlign w:val="center"/>
                </w:tcPr>
                <w:p w14:paraId="2EDCDA59">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做好床单元整理及协助护士转床</w:t>
                  </w:r>
                </w:p>
              </w:tc>
              <w:tc>
                <w:tcPr>
                  <w:tcW w:w="2297" w:type="dxa"/>
                  <w:vAlign w:val="center"/>
                </w:tcPr>
                <w:p w14:paraId="6E79B9F9">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做好记录</w:t>
                  </w:r>
                </w:p>
              </w:tc>
            </w:tr>
            <w:tr w14:paraId="2D49D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4CD0E875">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15:00-16:00</w:t>
                  </w:r>
                </w:p>
              </w:tc>
              <w:tc>
                <w:tcPr>
                  <w:tcW w:w="3176" w:type="dxa"/>
                  <w:vAlign w:val="center"/>
                </w:tcPr>
                <w:p w14:paraId="0F9BD18C">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及时收集、运送各项检验标本并记录</w:t>
                  </w:r>
                </w:p>
              </w:tc>
              <w:tc>
                <w:tcPr>
                  <w:tcW w:w="2297" w:type="dxa"/>
                  <w:vAlign w:val="center"/>
                </w:tcPr>
                <w:p w14:paraId="03CD54E1">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不定时运送标本</w:t>
                  </w:r>
                </w:p>
              </w:tc>
            </w:tr>
            <w:tr w14:paraId="28A7B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2E94E625">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16:00-17:00</w:t>
                  </w:r>
                </w:p>
              </w:tc>
              <w:tc>
                <w:tcPr>
                  <w:tcW w:w="3176" w:type="dxa"/>
                  <w:vAlign w:val="center"/>
                </w:tcPr>
                <w:p w14:paraId="1AD58145">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做好出入院人员的床单元整理及药品领取</w:t>
                  </w:r>
                </w:p>
              </w:tc>
              <w:tc>
                <w:tcPr>
                  <w:tcW w:w="2297" w:type="dxa"/>
                  <w:vAlign w:val="center"/>
                </w:tcPr>
                <w:p w14:paraId="6C940893">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不定时整理床单元及领药</w:t>
                  </w:r>
                </w:p>
              </w:tc>
            </w:tr>
            <w:tr w14:paraId="43870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3DA2404B">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17:00-18:00</w:t>
                  </w:r>
                </w:p>
              </w:tc>
              <w:tc>
                <w:tcPr>
                  <w:tcW w:w="3176" w:type="dxa"/>
                  <w:vAlign w:val="center"/>
                </w:tcPr>
                <w:p w14:paraId="518946B6">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做好普通库房的物质管理及清洁工作</w:t>
                  </w:r>
                </w:p>
              </w:tc>
              <w:tc>
                <w:tcPr>
                  <w:tcW w:w="2297" w:type="dxa"/>
                  <w:vAlign w:val="center"/>
                </w:tcPr>
                <w:p w14:paraId="2B3379FB">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整理分类存放</w:t>
                  </w:r>
                </w:p>
              </w:tc>
            </w:tr>
            <w:tr w14:paraId="0C06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vAlign w:val="center"/>
                </w:tcPr>
                <w:p w14:paraId="77EFCC55">
                  <w:pPr>
                    <w:pStyle w:val="49"/>
                    <w:keepNext w:val="0"/>
                    <w:keepLines w:val="0"/>
                    <w:pageBreakBefore w:val="0"/>
                    <w:kinsoku/>
                    <w:wordWrap/>
                    <w:overflowPunct/>
                    <w:topLinePunct w:val="0"/>
                    <w:autoSpaceDE/>
                    <w:autoSpaceDN/>
                    <w:bidi w:val="0"/>
                    <w:adjustRightInd/>
                    <w:snapToGrid/>
                    <w:spacing w:line="264" w:lineRule="auto"/>
                    <w:ind w:firstLine="22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18:00-21:30</w:t>
                  </w:r>
                </w:p>
              </w:tc>
              <w:tc>
                <w:tcPr>
                  <w:tcW w:w="3176" w:type="dxa"/>
                  <w:vAlign w:val="center"/>
                </w:tcPr>
                <w:p w14:paraId="216ECEF5">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做好晚班值日工作</w:t>
                  </w:r>
                </w:p>
              </w:tc>
              <w:tc>
                <w:tcPr>
                  <w:tcW w:w="2297" w:type="dxa"/>
                  <w:vAlign w:val="center"/>
                </w:tcPr>
                <w:p w14:paraId="51F6EDB8">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随叫随到</w:t>
                  </w:r>
                </w:p>
              </w:tc>
            </w:tr>
          </w:tbl>
          <w:p w14:paraId="774CE25F">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b/>
                <w:sz w:val="24"/>
                <w:szCs w:val="24"/>
                <w:highlight w:val="none"/>
              </w:rPr>
              <w:t>四、各科室运送人员配置</w:t>
            </w:r>
          </w:p>
          <w:tbl>
            <w:tblPr>
              <w:tblStyle w:val="24"/>
              <w:tblW w:w="7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077"/>
              <w:gridCol w:w="841"/>
              <w:gridCol w:w="4526"/>
            </w:tblGrid>
            <w:tr w14:paraId="74307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55E0F082">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sz w:val="24"/>
                      <w:szCs w:val="24"/>
                      <w:highlight w:val="none"/>
                      <w:lang w:eastAsia="zh-CN"/>
                    </w:rPr>
                  </w:pPr>
                  <w:r>
                    <w:rPr>
                      <w:rFonts w:asciiTheme="minorEastAsia" w:hAnsiTheme="minorEastAsia" w:cstheme="minorEastAsia"/>
                      <w:b/>
                      <w:sz w:val="24"/>
                      <w:szCs w:val="24"/>
                      <w:highlight w:val="none"/>
                      <w:lang w:eastAsia="zh-CN"/>
                    </w:rPr>
                    <w:t>序号</w:t>
                  </w:r>
                </w:p>
              </w:tc>
              <w:tc>
                <w:tcPr>
                  <w:tcW w:w="1077" w:type="dxa"/>
                  <w:vAlign w:val="center"/>
                </w:tcPr>
                <w:p w14:paraId="724782C4">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sz w:val="24"/>
                      <w:szCs w:val="24"/>
                      <w:highlight w:val="none"/>
                      <w:lang w:eastAsia="zh-CN"/>
                    </w:rPr>
                  </w:pPr>
                  <w:r>
                    <w:rPr>
                      <w:rFonts w:asciiTheme="minorEastAsia" w:hAnsiTheme="minorEastAsia" w:cstheme="minorEastAsia"/>
                      <w:b/>
                      <w:sz w:val="24"/>
                      <w:szCs w:val="24"/>
                      <w:highlight w:val="none"/>
                      <w:lang w:eastAsia="zh-CN"/>
                    </w:rPr>
                    <w:t>科室</w:t>
                  </w:r>
                </w:p>
              </w:tc>
              <w:tc>
                <w:tcPr>
                  <w:tcW w:w="841" w:type="dxa"/>
                  <w:vAlign w:val="center"/>
                </w:tcPr>
                <w:p w14:paraId="40C49206">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sz w:val="24"/>
                      <w:szCs w:val="24"/>
                      <w:highlight w:val="none"/>
                      <w:lang w:eastAsia="zh-CN"/>
                    </w:rPr>
                  </w:pPr>
                  <w:r>
                    <w:rPr>
                      <w:rFonts w:asciiTheme="minorEastAsia" w:hAnsiTheme="minorEastAsia" w:cstheme="minorEastAsia"/>
                      <w:b/>
                      <w:sz w:val="24"/>
                      <w:szCs w:val="24"/>
                      <w:highlight w:val="none"/>
                      <w:lang w:eastAsia="zh-CN"/>
                    </w:rPr>
                    <w:t>人员配置</w:t>
                  </w:r>
                </w:p>
              </w:tc>
              <w:tc>
                <w:tcPr>
                  <w:tcW w:w="4526" w:type="dxa"/>
                  <w:vAlign w:val="center"/>
                </w:tcPr>
                <w:p w14:paraId="2CB99432">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
                      <w:sz w:val="24"/>
                      <w:szCs w:val="24"/>
                      <w:highlight w:val="none"/>
                      <w:lang w:eastAsia="zh-CN"/>
                    </w:rPr>
                  </w:pPr>
                  <w:r>
                    <w:rPr>
                      <w:rFonts w:asciiTheme="minorEastAsia" w:hAnsiTheme="minorEastAsia" w:cstheme="minorEastAsia"/>
                      <w:b/>
                      <w:sz w:val="24"/>
                      <w:szCs w:val="24"/>
                      <w:highlight w:val="none"/>
                      <w:lang w:eastAsia="zh-CN"/>
                    </w:rPr>
                    <w:t>工种明细</w:t>
                  </w:r>
                </w:p>
              </w:tc>
            </w:tr>
            <w:tr w14:paraId="291FC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6BCE7084">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1</w:t>
                  </w:r>
                </w:p>
              </w:tc>
              <w:tc>
                <w:tcPr>
                  <w:tcW w:w="1077" w:type="dxa"/>
                  <w:vAlign w:val="center"/>
                </w:tcPr>
                <w:p w14:paraId="3CF829C0">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胸心外科</w:t>
                  </w:r>
                </w:p>
              </w:tc>
              <w:tc>
                <w:tcPr>
                  <w:tcW w:w="841" w:type="dxa"/>
                  <w:vAlign w:val="center"/>
                </w:tcPr>
                <w:p w14:paraId="0D382ABA">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1名</w:t>
                  </w:r>
                </w:p>
              </w:tc>
              <w:tc>
                <w:tcPr>
                  <w:tcW w:w="4526" w:type="dxa"/>
                  <w:vAlign w:val="center"/>
                </w:tcPr>
                <w:p w14:paraId="6A96D394">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r w14:paraId="10CE9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0F1966CA">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2</w:t>
                  </w:r>
                </w:p>
              </w:tc>
              <w:tc>
                <w:tcPr>
                  <w:tcW w:w="1077" w:type="dxa"/>
                  <w:vAlign w:val="center"/>
                </w:tcPr>
                <w:p w14:paraId="5B6CA236">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肾病内科</w:t>
                  </w:r>
                </w:p>
              </w:tc>
              <w:tc>
                <w:tcPr>
                  <w:tcW w:w="841" w:type="dxa"/>
                  <w:vAlign w:val="center"/>
                </w:tcPr>
                <w:p w14:paraId="795CB574">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rPr>
                  </w:pPr>
                  <w:r>
                    <w:rPr>
                      <w:rFonts w:asciiTheme="minorEastAsia" w:hAnsiTheme="minorEastAsia" w:cstheme="minorEastAsia"/>
                      <w:bCs/>
                      <w:sz w:val="24"/>
                      <w:szCs w:val="24"/>
                      <w:highlight w:val="none"/>
                      <w:lang w:eastAsia="zh-CN"/>
                    </w:rPr>
                    <w:t>1名</w:t>
                  </w:r>
                </w:p>
              </w:tc>
              <w:tc>
                <w:tcPr>
                  <w:tcW w:w="4526" w:type="dxa"/>
                  <w:vAlign w:val="center"/>
                </w:tcPr>
                <w:p w14:paraId="2F8D0943">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r w14:paraId="008A6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4ABF2F7E">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3</w:t>
                  </w:r>
                </w:p>
              </w:tc>
              <w:tc>
                <w:tcPr>
                  <w:tcW w:w="1077" w:type="dxa"/>
                  <w:vAlign w:val="center"/>
                </w:tcPr>
                <w:p w14:paraId="30181E38">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感染科</w:t>
                  </w:r>
                </w:p>
              </w:tc>
              <w:tc>
                <w:tcPr>
                  <w:tcW w:w="841" w:type="dxa"/>
                  <w:vAlign w:val="center"/>
                </w:tcPr>
                <w:p w14:paraId="790FCA6C">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rPr>
                  </w:pPr>
                  <w:r>
                    <w:rPr>
                      <w:rFonts w:asciiTheme="minorEastAsia" w:hAnsiTheme="minorEastAsia" w:cstheme="minorEastAsia"/>
                      <w:bCs/>
                      <w:sz w:val="24"/>
                      <w:szCs w:val="24"/>
                      <w:highlight w:val="none"/>
                      <w:lang w:eastAsia="zh-CN"/>
                    </w:rPr>
                    <w:t>1名</w:t>
                  </w:r>
                </w:p>
              </w:tc>
              <w:tc>
                <w:tcPr>
                  <w:tcW w:w="4526" w:type="dxa"/>
                  <w:vAlign w:val="center"/>
                </w:tcPr>
                <w:p w14:paraId="6FB2B526">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r w14:paraId="2880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435C76F5">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4</w:t>
                  </w:r>
                </w:p>
              </w:tc>
              <w:tc>
                <w:tcPr>
                  <w:tcW w:w="1077" w:type="dxa"/>
                  <w:vAlign w:val="center"/>
                </w:tcPr>
                <w:p w14:paraId="32A6840D">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消化内科</w:t>
                  </w:r>
                </w:p>
              </w:tc>
              <w:tc>
                <w:tcPr>
                  <w:tcW w:w="841" w:type="dxa"/>
                  <w:vAlign w:val="center"/>
                </w:tcPr>
                <w:p w14:paraId="7F40B730">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rPr>
                  </w:pPr>
                  <w:r>
                    <w:rPr>
                      <w:rFonts w:asciiTheme="minorEastAsia" w:hAnsiTheme="minorEastAsia" w:cstheme="minorEastAsia"/>
                      <w:bCs/>
                      <w:sz w:val="24"/>
                      <w:szCs w:val="24"/>
                      <w:highlight w:val="none"/>
                      <w:lang w:eastAsia="zh-CN"/>
                    </w:rPr>
                    <w:t>1名</w:t>
                  </w:r>
                </w:p>
              </w:tc>
              <w:tc>
                <w:tcPr>
                  <w:tcW w:w="4526" w:type="dxa"/>
                  <w:vAlign w:val="center"/>
                </w:tcPr>
                <w:p w14:paraId="03C63E4D">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r w14:paraId="1FD3D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0512B0C8">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5</w:t>
                  </w:r>
                </w:p>
              </w:tc>
              <w:tc>
                <w:tcPr>
                  <w:tcW w:w="1077" w:type="dxa"/>
                  <w:vAlign w:val="center"/>
                </w:tcPr>
                <w:p w14:paraId="21AB3F76">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五官科</w:t>
                  </w:r>
                </w:p>
              </w:tc>
              <w:tc>
                <w:tcPr>
                  <w:tcW w:w="841" w:type="dxa"/>
                  <w:vAlign w:val="center"/>
                </w:tcPr>
                <w:p w14:paraId="6ED61AEC">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rPr>
                  </w:pPr>
                  <w:r>
                    <w:rPr>
                      <w:rFonts w:asciiTheme="minorEastAsia" w:hAnsiTheme="minorEastAsia" w:cstheme="minorEastAsia"/>
                      <w:bCs/>
                      <w:sz w:val="24"/>
                      <w:szCs w:val="24"/>
                      <w:highlight w:val="none"/>
                      <w:lang w:eastAsia="zh-CN"/>
                    </w:rPr>
                    <w:t>1名</w:t>
                  </w:r>
                </w:p>
              </w:tc>
              <w:tc>
                <w:tcPr>
                  <w:tcW w:w="4526" w:type="dxa"/>
                  <w:vAlign w:val="center"/>
                </w:tcPr>
                <w:p w14:paraId="6815DC2E">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r w14:paraId="6350F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2" w:type="dxa"/>
                  <w:vAlign w:val="center"/>
                </w:tcPr>
                <w:p w14:paraId="4901DD85">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6</w:t>
                  </w:r>
                </w:p>
              </w:tc>
              <w:tc>
                <w:tcPr>
                  <w:tcW w:w="1077" w:type="dxa"/>
                  <w:vAlign w:val="center"/>
                </w:tcPr>
                <w:p w14:paraId="44A9155C">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lang w:eastAsia="zh-CN"/>
                    </w:rPr>
                  </w:pPr>
                  <w:r>
                    <w:rPr>
                      <w:rFonts w:asciiTheme="minorEastAsia" w:hAnsiTheme="minorEastAsia" w:cstheme="minorEastAsia"/>
                      <w:bCs/>
                      <w:sz w:val="24"/>
                      <w:szCs w:val="24"/>
                      <w:highlight w:val="none"/>
                      <w:lang w:eastAsia="zh-CN"/>
                    </w:rPr>
                    <w:t>骨科</w:t>
                  </w:r>
                </w:p>
              </w:tc>
              <w:tc>
                <w:tcPr>
                  <w:tcW w:w="841" w:type="dxa"/>
                  <w:vAlign w:val="center"/>
                </w:tcPr>
                <w:p w14:paraId="378302D9">
                  <w:pPr>
                    <w:pStyle w:val="49"/>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heme="minorEastAsia" w:hAnsiTheme="minorEastAsia" w:cstheme="minorEastAsia"/>
                      <w:bCs/>
                      <w:sz w:val="24"/>
                      <w:szCs w:val="24"/>
                      <w:highlight w:val="none"/>
                    </w:rPr>
                  </w:pPr>
                  <w:r>
                    <w:rPr>
                      <w:rFonts w:asciiTheme="minorEastAsia" w:hAnsiTheme="minorEastAsia" w:cstheme="minorEastAsia"/>
                      <w:bCs/>
                      <w:sz w:val="24"/>
                      <w:szCs w:val="24"/>
                      <w:highlight w:val="none"/>
                      <w:lang w:eastAsia="zh-CN"/>
                    </w:rPr>
                    <w:t>1名</w:t>
                  </w:r>
                </w:p>
              </w:tc>
              <w:tc>
                <w:tcPr>
                  <w:tcW w:w="4526" w:type="dxa"/>
                  <w:vAlign w:val="center"/>
                </w:tcPr>
                <w:p w14:paraId="12A6971C">
                  <w:pPr>
                    <w:pStyle w:val="49"/>
                    <w:keepNext w:val="0"/>
                    <w:keepLines w:val="0"/>
                    <w:pageBreakBefore w:val="0"/>
                    <w:kinsoku/>
                    <w:wordWrap/>
                    <w:overflowPunct/>
                    <w:topLinePunct w:val="0"/>
                    <w:autoSpaceDE/>
                    <w:autoSpaceDN/>
                    <w:bidi w:val="0"/>
                    <w:adjustRightInd/>
                    <w:snapToGrid/>
                    <w:spacing w:line="264" w:lineRule="auto"/>
                    <w:jc w:val="both"/>
                    <w:textAlignment w:val="auto"/>
                    <w:rPr>
                      <w:rFonts w:hint="default" w:asciiTheme="minorEastAsia" w:hAnsiTheme="minorEastAsia" w:cstheme="minorEastAsia"/>
                      <w:b/>
                      <w:sz w:val="24"/>
                      <w:szCs w:val="24"/>
                      <w:highlight w:val="none"/>
                    </w:rPr>
                  </w:pPr>
                  <w:r>
                    <w:rPr>
                      <w:rFonts w:asciiTheme="minorEastAsia" w:hAnsiTheme="minorEastAsia" w:cstheme="minorEastAsia"/>
                      <w:sz w:val="24"/>
                      <w:szCs w:val="24"/>
                      <w:highlight w:val="none"/>
                    </w:rPr>
                    <w:t>取药送药、标本送检、整理床单元及库房</w:t>
                  </w:r>
                </w:p>
              </w:tc>
            </w:tr>
          </w:tbl>
          <w:p w14:paraId="44CDA2A1">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b/>
                <w:sz w:val="24"/>
                <w:szCs w:val="24"/>
                <w:highlight w:val="none"/>
              </w:rPr>
            </w:pPr>
          </w:p>
          <w:p w14:paraId="416EE1B2">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五、项目管理工作制度</w:t>
            </w:r>
          </w:p>
          <w:p w14:paraId="7E24C66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1.中央运输负责12小时对院内住院病人提供陪检、取药、标本送检等一体化服务。</w:t>
            </w:r>
          </w:p>
          <w:p w14:paraId="7364DD3B">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2.中央运输人员必须着装整齐，佩戴统一工作牌，在陪检、取药、标本送检等过程中必须耐心、细致，严防差错事故发生。</w:t>
            </w:r>
          </w:p>
          <w:p w14:paraId="57219AE6">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3.中央运输人员在服务过程中必须使用文明用语，严禁与病员、家属及医务人员发生争吵。</w:t>
            </w:r>
          </w:p>
          <w:p w14:paraId="40ED838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4.中央运输人员在陪检工作中要注意保护病人隐私，不得大声喧哗，不得在对讲机里讲与工作无关的事情。</w:t>
            </w:r>
          </w:p>
          <w:p w14:paraId="03CF528B">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六、中央运送总体服务要求</w:t>
            </w:r>
          </w:p>
          <w:p w14:paraId="27915517">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1.须提供科学合理的组织架构，严格的管理细则和岗位责任制。</w:t>
            </w:r>
          </w:p>
          <w:p w14:paraId="3F9D054F">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2.须提供完善的后勤管理和保障服务能力，并具有一定的企业规模。</w:t>
            </w:r>
          </w:p>
          <w:p w14:paraId="08F0FCFD">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3.管理人员配备和其他员工的配备，须明确列出各区域工作人员数量及工作职责，并符合本项目服务内容的各项要求。</w:t>
            </w:r>
          </w:p>
          <w:p w14:paraId="7175A8E2">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4.加强人员管理质量和考核计划，完善运送交接流程和手续。</w:t>
            </w:r>
          </w:p>
          <w:p w14:paraId="41BB1898">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5.工作记录的完善和保管，符合医疗文书等管理要求。</w:t>
            </w:r>
          </w:p>
          <w:p w14:paraId="0BB8533B">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6.工作过程中遇重大、紧急事项的应急保障能力。</w:t>
            </w:r>
          </w:p>
          <w:p w14:paraId="535F76BB">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七、中央运送工作要求</w:t>
            </w:r>
          </w:p>
          <w:p w14:paraId="4F407F82">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做好取药送药工作：①运送员认真、仔细清点，杜绝马虎大意，严格核对科室、数量、药（物）品名称、相关注意事项等，药品品名、规格、数量较为复杂，运送药品时首先要核对药品名称是否与药品单的名称相符合，确认无误后与药房交接签字；②清点装箱时一定要轻拿轻放、摆放正确合理，不得损坏物品，保持药品包装完好，不要随意撕毁。根据药品形状（包装材质），有序放置，防止破损，在运送的过程中要使用牢固缝隙间隔较小的运送工具,防止药品打翻或遗漏；③运送过中，不得过度颠簸和震动，药品或药品箱不得脱离自已的视线；④送达科室经护士确认无误后签字；⑤运送工具每日使用完毕后进行物表清洁、消毒。</w:t>
            </w:r>
          </w:p>
          <w:p w14:paraId="386A3A15">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做好标本送检工作：①操作过程必须佩戴一次性手套、口罩，单次运送包含多种类型的标本时，必须分类型放在不同的标本箱（标本分类：抗凝血液标本、尿样、血气分析标本、血培养标本、血沉标本、大便排泄物、无菌培养标本、病理切片标本、载波切片）；②运送过程中，标本箱必须随身保管，不得随意丢放和托管，应保持运送箱平稳，防止碰撞，切勿遗失；③标本在取放过程中，轻拿轻放，不得倒放；④在运送锐器标本时注意安全防护。</w:t>
            </w:r>
          </w:p>
          <w:p w14:paraId="33E391F7">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做好床单元整理及库房管理工作：①按科室要求做好病人入院前床单元准备、出院后床单元整理工作；②做好医用织物的替换、收集和管理工作，清洁织物与脏污织物使用的运送工具、周转暂存库房必须严格分离，并以不同的颜色的文字为标识标记，运送工具存放在各自对应的库房；③各方清点交接务必认真、谨慎，台账记录真实准确。</w:t>
            </w:r>
          </w:p>
          <w:p w14:paraId="7EA2A283">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asciiTheme="minorEastAsia" w:hAnsiTheme="minorEastAsia" w:cstheme="minorEastAsia"/>
                <w:sz w:val="24"/>
                <w:szCs w:val="24"/>
                <w:highlight w:val="none"/>
                <w:lang w:eastAsia="zh-CN"/>
              </w:rPr>
            </w:pPr>
            <w:r>
              <w:rPr>
                <w:rFonts w:asciiTheme="minorEastAsia" w:hAnsiTheme="minorEastAsia" w:cstheme="minorEastAsia"/>
                <w:sz w:val="24"/>
                <w:szCs w:val="24"/>
                <w:highlight w:val="none"/>
                <w:lang w:eastAsia="zh-CN"/>
              </w:rPr>
              <w:t>4.做好科室</w:t>
            </w:r>
            <w:r>
              <w:rPr>
                <w:rFonts w:hint="default" w:asciiTheme="minorEastAsia" w:hAnsiTheme="minorEastAsia" w:cstheme="minorEastAsia"/>
                <w:sz w:val="24"/>
                <w:szCs w:val="24"/>
                <w:highlight w:val="none"/>
                <w:lang w:eastAsia="zh-CN"/>
              </w:rPr>
              <w:t>及护士长安排的其他工作</w:t>
            </w:r>
            <w:r>
              <w:rPr>
                <w:rFonts w:asciiTheme="minorEastAsia" w:hAnsiTheme="minorEastAsia" w:cstheme="minorEastAsia"/>
                <w:sz w:val="24"/>
                <w:szCs w:val="24"/>
                <w:highlight w:val="none"/>
                <w:lang w:eastAsia="zh-CN"/>
              </w:rPr>
              <w:t>：因</w:t>
            </w:r>
            <w:r>
              <w:rPr>
                <w:rFonts w:hint="default" w:asciiTheme="minorEastAsia" w:hAnsiTheme="minorEastAsia" w:cstheme="minorEastAsia"/>
                <w:sz w:val="24"/>
                <w:szCs w:val="24"/>
                <w:highlight w:val="none"/>
                <w:lang w:eastAsia="zh-CN"/>
              </w:rPr>
              <w:t>各科室</w:t>
            </w:r>
            <w:r>
              <w:rPr>
                <w:rFonts w:asciiTheme="minorEastAsia" w:hAnsiTheme="minorEastAsia" w:cstheme="minorEastAsia"/>
                <w:sz w:val="24"/>
                <w:szCs w:val="24"/>
                <w:highlight w:val="none"/>
                <w:lang w:eastAsia="zh-CN"/>
              </w:rPr>
              <w:t>专科特色</w:t>
            </w:r>
            <w:r>
              <w:rPr>
                <w:rFonts w:hint="default" w:asciiTheme="minorEastAsia" w:hAnsiTheme="minorEastAsia" w:cstheme="minorEastAsia"/>
                <w:sz w:val="24"/>
                <w:szCs w:val="24"/>
                <w:highlight w:val="none"/>
                <w:lang w:eastAsia="zh-CN"/>
              </w:rPr>
              <w:t>及人员结构不同，工作职责不完全相同，</w:t>
            </w:r>
            <w:r>
              <w:rPr>
                <w:rFonts w:asciiTheme="minorEastAsia" w:hAnsiTheme="minorEastAsia" w:cstheme="minorEastAsia"/>
                <w:sz w:val="24"/>
                <w:szCs w:val="24"/>
                <w:highlight w:val="none"/>
                <w:lang w:eastAsia="zh-CN"/>
              </w:rPr>
              <w:t>工作人员</w:t>
            </w:r>
            <w:r>
              <w:rPr>
                <w:rFonts w:hint="default" w:asciiTheme="minorEastAsia" w:hAnsiTheme="minorEastAsia" w:cstheme="minorEastAsia"/>
                <w:sz w:val="24"/>
                <w:szCs w:val="24"/>
                <w:highlight w:val="none"/>
                <w:lang w:eastAsia="zh-CN"/>
              </w:rPr>
              <w:t>应服从</w:t>
            </w:r>
            <w:r>
              <w:rPr>
                <w:rFonts w:asciiTheme="minorEastAsia" w:hAnsiTheme="minorEastAsia" w:cstheme="minorEastAsia"/>
                <w:sz w:val="24"/>
                <w:szCs w:val="24"/>
                <w:highlight w:val="none"/>
                <w:lang w:eastAsia="zh-CN"/>
              </w:rPr>
              <w:t>护士长</w:t>
            </w:r>
            <w:r>
              <w:rPr>
                <w:rFonts w:hint="default" w:asciiTheme="minorEastAsia" w:hAnsiTheme="minorEastAsia" w:cstheme="minorEastAsia"/>
                <w:sz w:val="24"/>
                <w:szCs w:val="24"/>
                <w:highlight w:val="none"/>
                <w:lang w:eastAsia="zh-CN"/>
              </w:rPr>
              <w:t>工作安排</w:t>
            </w:r>
            <w:r>
              <w:rPr>
                <w:rFonts w:asciiTheme="minorEastAsia" w:hAnsiTheme="minorEastAsia" w:cstheme="minorEastAsia"/>
                <w:sz w:val="24"/>
                <w:szCs w:val="24"/>
                <w:highlight w:val="none"/>
                <w:lang w:eastAsia="zh-CN"/>
              </w:rPr>
              <w:t>，一切以</w:t>
            </w:r>
            <w:r>
              <w:rPr>
                <w:rFonts w:hint="default" w:asciiTheme="minorEastAsia" w:hAnsiTheme="minorEastAsia" w:cstheme="minorEastAsia"/>
                <w:sz w:val="24"/>
                <w:szCs w:val="24"/>
                <w:highlight w:val="none"/>
                <w:lang w:eastAsia="zh-CN"/>
              </w:rPr>
              <w:t>科室及患者满意为标准。</w:t>
            </w:r>
          </w:p>
          <w:p w14:paraId="418BD05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八、中央运送管理服务及要求</w:t>
            </w:r>
          </w:p>
          <w:p w14:paraId="46777615">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管理服务能力要求：（1）具有医院后勤管理服务的成熟经验。（2）具有医院中央运送管理服务的成熟经验。（3）具有医院防止交叉感染、贯彻“三基三严”制度的成熟经验。（4）能独自承担本次招标项目内容的全部任务。</w:t>
            </w:r>
          </w:p>
          <w:p w14:paraId="5F1E246A">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员工管理要求：（1）员工需统一着装上岗，着装标识明显，易于识别以便管理。（2）上岗员工需进行岗前培训合格，符合相应资格要求，加强在岗培训和管理。（3）熟悉岗位工作环境和流程。（4）严格按照岗位工作职责进行作业。（5）遵守医院和公司管理制度，按质按量完成各项工作。（6）注重服务态度，牢记文明用语和禁忌用语。（7）积极配合医院接受上级领导部门的监督、检查。</w:t>
            </w:r>
          </w:p>
          <w:p w14:paraId="7FFE2E1D">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员工培训要求：（1）供应商有运送员工入职培训、继续培训方案，并落实。（2）供应商自行负责对运送人员进行以下事项的培训：运送操作规范流程、操作标准、应急预案、运送要求及注意事项培训；仪表仪容、安全知识、服务内容、服务要求、服务礼仪、谈话沟通技巧等培训。另外，供应商需组织其服务员工了解采购人医院的相关规章制度并自觉遵守。供应商服务员工在经专项培训且考核合格后方能单独承担运送任务。</w:t>
            </w:r>
          </w:p>
          <w:p w14:paraId="446C867B">
            <w:pPr>
              <w:pStyle w:val="49"/>
              <w:keepNext w:val="0"/>
              <w:keepLines w:val="0"/>
              <w:pageBreakBefore w:val="0"/>
              <w:tabs>
                <w:tab w:val="left" w:pos="466"/>
              </w:tabs>
              <w:kinsoku/>
              <w:wordWrap/>
              <w:overflowPunct/>
              <w:topLinePunct w:val="0"/>
              <w:autoSpaceDE/>
              <w:autoSpaceDN/>
              <w:bidi w:val="0"/>
              <w:adjustRightInd/>
              <w:snapToGrid/>
              <w:spacing w:line="264" w:lineRule="auto"/>
              <w:ind w:firstLine="480"/>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lang w:eastAsia="zh-CN"/>
              </w:rPr>
              <w:tab/>
            </w:r>
            <w:r>
              <w:rPr>
                <w:rFonts w:asciiTheme="minorEastAsia" w:hAnsiTheme="minorEastAsia" w:cstheme="minorEastAsia"/>
                <w:b/>
                <w:sz w:val="24"/>
                <w:szCs w:val="24"/>
                <w:highlight w:val="none"/>
              </w:rPr>
              <w:t>九、中央运送服务质量标准和考核标准</w:t>
            </w:r>
          </w:p>
          <w:p w14:paraId="35C0FDC9">
            <w:pPr>
              <w:pStyle w:val="49"/>
              <w:keepNext w:val="0"/>
              <w:keepLines w:val="0"/>
              <w:pageBreakBefore w:val="0"/>
              <w:kinsoku/>
              <w:wordWrap/>
              <w:overflowPunct/>
              <w:topLinePunct w:val="0"/>
              <w:autoSpaceDE/>
              <w:autoSpaceDN/>
              <w:bidi w:val="0"/>
              <w:adjustRightInd/>
              <w:snapToGrid/>
              <w:spacing w:line="264" w:lineRule="auto"/>
              <w:ind w:firstLine="480"/>
              <w:jc w:val="center"/>
              <w:textAlignment w:val="auto"/>
              <w:rPr>
                <w:rFonts w:hint="default" w:asciiTheme="minorEastAsia" w:hAnsiTheme="minorEastAsia" w:cstheme="minorEastAsia"/>
                <w:b/>
                <w:sz w:val="24"/>
                <w:szCs w:val="24"/>
                <w:highlight w:val="none"/>
              </w:rPr>
            </w:pPr>
            <w:r>
              <w:rPr>
                <w:rFonts w:asciiTheme="minorEastAsia" w:hAnsiTheme="minorEastAsia" w:cstheme="minorEastAsia"/>
                <w:b/>
                <w:sz w:val="24"/>
                <w:szCs w:val="24"/>
                <w:highlight w:val="none"/>
              </w:rPr>
              <w:t>中央运送服务质量标准</w:t>
            </w:r>
          </w:p>
          <w:tbl>
            <w:tblPr>
              <w:tblStyle w:val="23"/>
              <w:tblW w:w="0" w:type="auto"/>
              <w:tblInd w:w="53"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76"/>
              <w:gridCol w:w="899"/>
              <w:gridCol w:w="5864"/>
            </w:tblGrid>
            <w:tr w14:paraId="3E57E6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3DD068C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序号</w:t>
                  </w:r>
                </w:p>
              </w:tc>
              <w:tc>
                <w:tcPr>
                  <w:tcW w:w="899"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7538056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项目</w:t>
                  </w:r>
                </w:p>
              </w:tc>
              <w:tc>
                <w:tcPr>
                  <w:tcW w:w="5864"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0A6E728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质量标准</w:t>
                  </w:r>
                </w:p>
              </w:tc>
            </w:tr>
            <w:tr w14:paraId="200435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2B0C9AC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12A555F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综合管理</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3C235EE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1.严格执行医院各项规章制度，有每年、每季度、每月工作计划总结；原则上工作计划完成率95%；2.季度检查服务质量不低于90分。</w:t>
                  </w:r>
                </w:p>
              </w:tc>
            </w:tr>
            <w:tr w14:paraId="4D3BF9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116E06A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7F94CB1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质量及安全</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4FDAEDA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1.严格按照岗位职责与工作流程操作，输送工具完好率100%，放置规范；无安全事故发生。</w:t>
                  </w:r>
                </w:p>
              </w:tc>
            </w:tr>
            <w:tr w14:paraId="6E32102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6214ADB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5CBF00A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时效管理</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2B7185E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1.实时记录输送任务执行情况；原则上达到以下服务时效；2.急诊标本15分钟内送达检验科；3.平诊标本每日收取2次（早晨7:30；下午14:30）；特殊情况立即收取。</w:t>
                  </w:r>
                </w:p>
              </w:tc>
            </w:tr>
            <w:tr w14:paraId="287991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57DE4B7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3275945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应急管理</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70ABBD4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1.按时完成医院规定的相关应急演练；2.突发事件5分钟内到达任务点且人员足够满足工作需要；3.服从医院合理的临时应急安排。</w:t>
                  </w:r>
                </w:p>
              </w:tc>
            </w:tr>
            <w:tr w14:paraId="2350F31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06888FEC">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04F19B9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不良事件管理</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1B8871A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每月召开一次工作协作会，收集信息，了解客户需求及服务质量反馈；2.接到投诉、或有争议等问题时，30分钟内赶到现场进行调查和初步处理，一般事件2天内给予解决或答复、紧急事件2小时；3.客户投诉处理回复率100%，每一例投诉的情况及处理均有记录备案。</w:t>
                  </w:r>
                </w:p>
              </w:tc>
            </w:tr>
            <w:tr w14:paraId="7716DB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4DEE4DF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7</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2EA4575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人力资源管理</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6C9767A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每月向医院监管部门上报排班表，以核对在岗人数，人力需求足够；2.每月向医院监管部门上报工作量，了解工作量是否饱和、与岗位设置是否相符；3.新员工岗前培训＞7天；内部岗位调配＞3天；定期强化培训4个学时；老员工培训累计＞7工作日/全年。</w:t>
                  </w:r>
                </w:p>
              </w:tc>
            </w:tr>
            <w:tr w14:paraId="3C1BFC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76"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5C08E2F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8</w:t>
                  </w:r>
                </w:p>
              </w:tc>
              <w:tc>
                <w:tcPr>
                  <w:tcW w:w="899"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567719BC">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顾客满意度</w:t>
                  </w:r>
                </w:p>
              </w:tc>
              <w:tc>
                <w:tcPr>
                  <w:tcW w:w="5864" w:type="dxa"/>
                  <w:tcBorders>
                    <w:top w:val="nil"/>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0BCE6C5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每月进行满意度自查（护士长、护士占40%、病人占60%），满意度不低于90%；2.医院监管部门每月进行一次满意度调查（护士长、护士占40%、病人占60%）,满意度不低于90%；3.医院监管部门每季度就工作完成情况、培训情况、满意度调查情况等工作进行全院通报、督促工作持续改进。</w:t>
                  </w:r>
                </w:p>
              </w:tc>
            </w:tr>
          </w:tbl>
          <w:p w14:paraId="05C68B76">
            <w:pPr>
              <w:pStyle w:val="49"/>
              <w:keepNext w:val="0"/>
              <w:keepLines w:val="0"/>
              <w:pageBreakBefore w:val="0"/>
              <w:kinsoku/>
              <w:wordWrap/>
              <w:overflowPunct/>
              <w:topLinePunct w:val="0"/>
              <w:autoSpaceDE/>
              <w:autoSpaceDN/>
              <w:bidi w:val="0"/>
              <w:adjustRightInd/>
              <w:snapToGrid/>
              <w:spacing w:line="264" w:lineRule="auto"/>
              <w:ind w:firstLine="48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中央运送工作考核标准</w:t>
            </w:r>
          </w:p>
          <w:tbl>
            <w:tblPr>
              <w:tblStyle w:val="23"/>
              <w:tblW w:w="0" w:type="auto"/>
              <w:tblInd w:w="16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12"/>
              <w:gridCol w:w="2100"/>
              <w:gridCol w:w="460"/>
              <w:gridCol w:w="1427"/>
              <w:gridCol w:w="873"/>
              <w:gridCol w:w="722"/>
              <w:gridCol w:w="657"/>
            </w:tblGrid>
            <w:tr w14:paraId="154C82F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center"/>
                </w:tcPr>
                <w:p w14:paraId="1FD3BCF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项目</w:t>
                  </w:r>
                </w:p>
              </w:tc>
              <w:tc>
                <w:tcPr>
                  <w:tcW w:w="2100"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3ED895A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质量标准</w:t>
                  </w:r>
                </w:p>
              </w:tc>
              <w:tc>
                <w:tcPr>
                  <w:tcW w:w="460"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5DC30A0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分值</w:t>
                  </w:r>
                </w:p>
              </w:tc>
              <w:tc>
                <w:tcPr>
                  <w:tcW w:w="1427"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6806EB0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考核细则</w:t>
                  </w:r>
                </w:p>
              </w:tc>
              <w:tc>
                <w:tcPr>
                  <w:tcW w:w="873"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13B7B5A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检查考核情况</w:t>
                  </w:r>
                </w:p>
              </w:tc>
              <w:tc>
                <w:tcPr>
                  <w:tcW w:w="722"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2FC53D5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主管部门考核扣分</w:t>
                  </w:r>
                </w:p>
              </w:tc>
              <w:tc>
                <w:tcPr>
                  <w:tcW w:w="657" w:type="dxa"/>
                  <w:tcBorders>
                    <w:top w:val="single" w:color="000000" w:sz="4" w:space="0"/>
                    <w:left w:val="nil"/>
                    <w:bottom w:val="single" w:color="000000" w:sz="4" w:space="0"/>
                    <w:right w:val="single" w:color="000000" w:sz="4" w:space="0"/>
                  </w:tcBorders>
                  <w:shd w:val="clear" w:color="auto" w:fill="FFFFFF"/>
                  <w:tcMar>
                    <w:top w:w="0" w:type="dxa"/>
                    <w:left w:w="0" w:type="dxa"/>
                    <w:bottom w:w="0" w:type="dxa"/>
                    <w:right w:w="0" w:type="dxa"/>
                  </w:tcMar>
                  <w:vAlign w:val="center"/>
                </w:tcPr>
                <w:p w14:paraId="268F7979">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考核得分</w:t>
                  </w:r>
                </w:p>
              </w:tc>
            </w:tr>
            <w:tr w14:paraId="2F751E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restart"/>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14775CB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质量安全</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A9F4C8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1.遵守医院规章制度</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8BB19C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8F76F6C">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违规扣1分/次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70F7FB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75F85C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20CC28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56CF01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37F0DD15">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4F575F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2.严格按照岗位职责与工作流程操作</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2EE57C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66357B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违规扣1分/次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1A915A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ADCAE5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52887B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6A0B17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78544F2C">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E171BA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3.无纠纷投诉发生</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4E116A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3D6C0F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责纠纷扣2分/次；投诉扣2分/次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308849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1940F8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687CF4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3C4A9C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6F9058C8">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3A0A74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4.无安全事故发生</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E13C9E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B3BC6B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安全事故扣5分/次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A47490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9C413E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A0DB29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030BE7F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restart"/>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4635233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标本运送</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86CEA5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1.急诊抢救病人血标本10分钟内到达任务点，20分钟内送达检验科；</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AE0C09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69B7CB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DE461C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56B0CE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D6F084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5642DE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12B88A9B">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A86084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2.其他急诊标本15分钟内到达任务点，30分钟内送达检验科</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1BB174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5D9E53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573127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0EA867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96568B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6DA26CE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3EC57C57">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BF3E2C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3.平诊标本每日收取2次（早晨7:30；下午13:30）；特殊情况立即收取</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107529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1ADBE2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C3EEAE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1F7608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1D8F37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3BAE947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restart"/>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22E5DC2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应急管理</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E02230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1.突发事件应急支援原则上5分钟内到岗</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151D91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0E5585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8BA9CD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91273F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59F2FD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1203D9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4362DFE1">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158ACB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2.按时完成医院规定的相关应急演练</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0DEE93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8</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412138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未达要求扣4分/次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356DD6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2C713F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FA05EB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7E28ED1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3A921280">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D1CC3E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3.服从医院合理的临时应急安排。</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7B1BF2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B9F99B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9C7A63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C625D8C">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A16BB1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6408A36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7DD3BF4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调度工作响应</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EBBC6E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电话铃响3声内接听，输送任务3分钟内派工</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D14E93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3AA859C">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198B97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64AC4A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79F882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7C9EC2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restart"/>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090D910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不良事件管理</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94A370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1.接到投诉和有争议的问题时，30分钟内赶到现场进行调查和初步处理。</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151941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A4D945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未达要求扣3分/次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9297403">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D107157">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B13150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56E1A8E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37513C07">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6DAD76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2.一般事件2天内给与解决，紧急事件2小时内给与解决</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7A8D43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E49DB8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未达要求扣2.5分/次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778E50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58E591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7EF54D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680806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1577ECEF">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A6A38E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3.客户投诉处理回复率100%</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6285759">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BF04D1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未达要求扣2.5分/次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F9984C9">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7B4D6C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5A223F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1C98EE7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3B5BC8E8">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B561AB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4.每一例投诉的情况及处理均有记录备案</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C3C2234">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5F2EAD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未达要求扣1分/次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594DA58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9BA961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D7412B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14451A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restart"/>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5CFA62EF">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月满意度</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7BFB67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1.病人满意度90%以上</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701169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9</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F53F70B">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未达要求扣3分/次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6D010E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705C15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30E3570">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6B71385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vMerge w:val="continue"/>
                  <w:tcBorders>
                    <w:top w:val="nil"/>
                    <w:left w:val="single" w:color="000000" w:sz="4" w:space="0"/>
                    <w:bottom w:val="single" w:color="000000" w:sz="4" w:space="0"/>
                    <w:right w:val="single" w:color="000000" w:sz="4" w:space="0"/>
                  </w:tcBorders>
                </w:tcPr>
                <w:p w14:paraId="238567FA">
                  <w:pPr>
                    <w:keepNext w:val="0"/>
                    <w:keepLines w:val="0"/>
                    <w:pageBreakBefore w:val="0"/>
                    <w:kinsoku/>
                    <w:wordWrap/>
                    <w:overflowPunct/>
                    <w:topLinePunct w:val="0"/>
                    <w:autoSpaceDE/>
                    <w:autoSpaceDN/>
                    <w:bidi w:val="0"/>
                    <w:adjustRightInd/>
                    <w:snapToGrid/>
                    <w:spacing w:line="264" w:lineRule="auto"/>
                    <w:ind w:left="105" w:leftChars="50" w:right="105" w:rightChars="50"/>
                    <w:textAlignment w:val="auto"/>
                    <w:rPr>
                      <w:rFonts w:asciiTheme="minorEastAsia" w:hAnsiTheme="minorEastAsia" w:eastAsiaTheme="minorEastAsia" w:cstheme="minorEastAsia"/>
                      <w:sz w:val="24"/>
                      <w:highlight w:val="none"/>
                    </w:rPr>
                  </w:pP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36BDD2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2.医务人员满意度90%以上</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0AEC403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9</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891F0D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未达要求扣3分/次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3812041">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BD47522">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CD55DCA">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r w14:paraId="57B4E4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2" w:type="dxa"/>
                  <w:tcBorders>
                    <w:top w:val="nil"/>
                    <w:left w:val="single" w:color="000000" w:sz="4" w:space="0"/>
                    <w:bottom w:val="single" w:color="000000" w:sz="4" w:space="0"/>
                    <w:right w:val="single" w:color="000000" w:sz="4" w:space="0"/>
                  </w:tcBorders>
                  <w:shd w:val="clear" w:color="auto" w:fill="FFFFFF"/>
                  <w:tcMar>
                    <w:top w:w="0" w:type="dxa"/>
                    <w:left w:w="0" w:type="dxa"/>
                    <w:bottom w:w="0" w:type="dxa"/>
                    <w:right w:w="0" w:type="dxa"/>
                  </w:tcMar>
                </w:tcPr>
                <w:p w14:paraId="4B516D59">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新入职员工培</w:t>
                  </w:r>
                </w:p>
              </w:tc>
              <w:tc>
                <w:tcPr>
                  <w:tcW w:w="210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6827BD8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1.新进员工入职教育</w:t>
                  </w:r>
                </w:p>
              </w:tc>
              <w:tc>
                <w:tcPr>
                  <w:tcW w:w="460"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7B09C5D5">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center"/>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w:t>
                  </w:r>
                </w:p>
              </w:tc>
              <w:tc>
                <w:tcPr>
                  <w:tcW w:w="142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4E02DA58">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未达要求扣2分/次</w:t>
                  </w:r>
                </w:p>
              </w:tc>
              <w:tc>
                <w:tcPr>
                  <w:tcW w:w="873"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112429BE">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722"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2CB69E26">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c>
                <w:tcPr>
                  <w:tcW w:w="657" w:type="dxa"/>
                  <w:tcBorders>
                    <w:top w:val="nil"/>
                    <w:left w:val="nil"/>
                    <w:bottom w:val="single" w:color="000000" w:sz="4" w:space="0"/>
                    <w:right w:val="single" w:color="000000" w:sz="4" w:space="0"/>
                  </w:tcBorders>
                  <w:shd w:val="clear" w:color="auto" w:fill="FFFFFF"/>
                  <w:tcMar>
                    <w:top w:w="0" w:type="dxa"/>
                    <w:left w:w="0" w:type="dxa"/>
                    <w:bottom w:w="0" w:type="dxa"/>
                    <w:right w:w="0" w:type="dxa"/>
                  </w:tcMar>
                </w:tcPr>
                <w:p w14:paraId="3F37939D">
                  <w:pPr>
                    <w:pStyle w:val="49"/>
                    <w:keepNext w:val="0"/>
                    <w:keepLines w:val="0"/>
                    <w:pageBreakBefore w:val="0"/>
                    <w:kinsoku/>
                    <w:wordWrap/>
                    <w:overflowPunct/>
                    <w:topLinePunct w:val="0"/>
                    <w:autoSpaceDE/>
                    <w:autoSpaceDN/>
                    <w:bidi w:val="0"/>
                    <w:adjustRightInd/>
                    <w:snapToGrid/>
                    <w:spacing w:line="264" w:lineRule="auto"/>
                    <w:ind w:left="105" w:leftChars="50" w:right="105" w:rightChars="50"/>
                    <w:jc w:val="both"/>
                    <w:textAlignment w:val="auto"/>
                    <w:rPr>
                      <w:rFonts w:hint="default" w:asciiTheme="minorEastAsia" w:hAnsiTheme="minorEastAsia" w:cstheme="minorEastAsia"/>
                      <w:sz w:val="24"/>
                      <w:szCs w:val="24"/>
                      <w:highlight w:val="none"/>
                    </w:rPr>
                  </w:pPr>
                </w:p>
              </w:tc>
            </w:tr>
          </w:tbl>
          <w:p w14:paraId="5BB9C43E">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备注:</w:t>
            </w:r>
            <w:r>
              <w:rPr>
                <w:rFonts w:asciiTheme="minorEastAsia" w:hAnsiTheme="minorEastAsia" w:cstheme="minorEastAsia"/>
                <w:sz w:val="24"/>
                <w:szCs w:val="24"/>
                <w:highlight w:val="none"/>
              </w:rPr>
              <w:t>1.全部达到质量标准为100分。2.每月25日前由甲乙双方指定管理人员进行定期和不定期检查考核日常考核扣分当月实行累加。3.中央运送服务质量考核原则：（1）投标人提供服务的前2个月不进行考评，从第3个月开始按考评结果执行。（2）投标人开始服务第3个月开始，考核达80分则全额付款。（3）投标人如当月检查考核得分低于80分，每低1分，按每分50元计算扣款。（4）投标人如连续3个月（或一年中累计达5个月）考评低于70分时，则采购方有权取消供应商服务资格，并终止合同。（5）投标人如月考核低于70分，医院可拒绝支付当月服务费用。</w:t>
            </w:r>
          </w:p>
          <w:p w14:paraId="04642846">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b/>
                <w:sz w:val="24"/>
                <w:szCs w:val="24"/>
                <w:highlight w:val="none"/>
              </w:rPr>
              <w:t>十、中央运送服务其他要求</w:t>
            </w:r>
          </w:p>
          <w:p w14:paraId="5FAEC0D2">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投标人应根据投标时所提交的考核办法，自行组织设备和人员，并在采购方监督下定期和不定期进行考核，服务项目、服务品质、满意率不低于合同要求。在日常工作中如果出现不符合招标文件要求的事件，如：未按规定时限完成运送、运送服务质量差导致病员或科室投诉等，经查确属于企业责任，采购方有权根据事件的性质及造成的影响、损失等情况扣款，甚至终止合同。</w:t>
            </w:r>
          </w:p>
          <w:p w14:paraId="2C3B7477">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2.为防止交叉感染，投标人应对运送轮椅、推车等采取消毒、更换垫子等措施,以符合医院感染管理要求。</w:t>
            </w:r>
          </w:p>
          <w:p w14:paraId="117CE1DE">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3.投标人在合同期内应满足医院各类应急及突发事件的运送工作。</w:t>
            </w:r>
          </w:p>
          <w:p w14:paraId="60D6E49C">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4.投标人自行负责其招聘员工的一切工资、福利；如发生工伤、疾病乃至死亡的一切责任及费用由其全部负责；投标人应严格遵守国家有关的法律、法规及行业标准，并承担相应的费用。</w:t>
            </w:r>
          </w:p>
          <w:p w14:paraId="6B19D6DE">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5.投标人应保证对其派驻在采购方的工作人员进行业务培训、技能培训和安全教育，在合同范围内由于其操作行为失误造成的任何形式的人身损伤由其独立承担责任和损失，采购方不承担任何法律责任。</w:t>
            </w:r>
          </w:p>
          <w:p w14:paraId="24A7BC2C">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6.投标人应加强管理，包括使用工具的维护保养，保证完好备用等，因其管理不善或操作不当或没有按规定进行操作或工具故障等原因造成重大事故的，由其承担责任并负责善后处理（产生事故的直接原因以政府有关部门的鉴定结论为准）。</w:t>
            </w:r>
          </w:p>
          <w:p w14:paraId="369F7259">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7.投标人派往采购方本项目员工的基本工资应不低于万源市最低工资标准。</w:t>
            </w:r>
          </w:p>
          <w:p w14:paraId="2DC57E56">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8.投标人应严格按国家有关法律、法规要求为服务人员购买社保等福利。</w:t>
            </w:r>
          </w:p>
          <w:p w14:paraId="70800AEC">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9.投标人应严格遵守家有关法律、法规。</w:t>
            </w:r>
          </w:p>
          <w:p w14:paraId="5F3A2894">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10.投标人所有员工服务时都必须经过体检，并且合格的才能上岗。</w:t>
            </w:r>
          </w:p>
          <w:p w14:paraId="478FC090">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11.本次招标范围内中所发生的一切费用均应包含在投标报价中，包括人力成本、物料成本、管理成本等。</w:t>
            </w:r>
          </w:p>
          <w:p w14:paraId="2BFEB0D5">
            <w:pPr>
              <w:pStyle w:val="49"/>
              <w:keepNext w:val="0"/>
              <w:keepLines w:val="0"/>
              <w:pageBreakBefore w:val="0"/>
              <w:kinsoku/>
              <w:wordWrap/>
              <w:overflowPunct/>
              <w:topLinePunct w:val="0"/>
              <w:autoSpaceDE/>
              <w:autoSpaceDN/>
              <w:bidi w:val="0"/>
              <w:adjustRightInd/>
              <w:snapToGrid/>
              <w:spacing w:line="264" w:lineRule="auto"/>
              <w:ind w:firstLine="480"/>
              <w:jc w:val="both"/>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12.本项目不允许投标人以任何名义和理由进行转包，如有发现，采购方有权单方终止合同，且投标人必须赔偿由此给采购方带来的一切损失。</w:t>
            </w:r>
          </w:p>
          <w:p w14:paraId="128E2CEF">
            <w:pPr>
              <w:pStyle w:val="49"/>
              <w:keepNext w:val="0"/>
              <w:keepLines w:val="0"/>
              <w:pageBreakBefore w:val="0"/>
              <w:kinsoku/>
              <w:wordWrap/>
              <w:overflowPunct/>
              <w:topLinePunct w:val="0"/>
              <w:autoSpaceDE/>
              <w:autoSpaceDN/>
              <w:bidi w:val="0"/>
              <w:adjustRightInd/>
              <w:snapToGrid/>
              <w:spacing w:line="264" w:lineRule="auto"/>
              <w:textAlignment w:val="auto"/>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13.投标人应针对本项目制定完善的安全管理方案（包含但不限于安全管理组织架构、安全管理制度、安全管理程序、安全管理档案等。</w:t>
            </w:r>
          </w:p>
        </w:tc>
      </w:tr>
    </w:tbl>
    <w:p w14:paraId="5A79839F">
      <w:pPr>
        <w:rPr>
          <w:highlight w:val="none"/>
        </w:rPr>
      </w:pPr>
    </w:p>
    <w:p w14:paraId="2421B282">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7" w:name="_Toc2581"/>
      <w:r>
        <w:rPr>
          <w:rFonts w:hint="eastAsia" w:ascii="黑体" w:hAnsi="黑体" w:eastAsia="黑体" w:cs="黑体"/>
          <w:b w:val="0"/>
          <w:bCs w:val="0"/>
          <w:sz w:val="28"/>
          <w:szCs w:val="28"/>
          <w:lang w:val="zh-CN"/>
        </w:rPr>
        <w:t>三、商务要求</w:t>
      </w:r>
      <w:bookmarkEnd w:id="37"/>
    </w:p>
    <w:p w14:paraId="69CB4DFB">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bookmarkStart w:id="38" w:name="_Toc6048"/>
      <w:r>
        <w:rPr>
          <w:rFonts w:hint="eastAsia" w:asciiTheme="minorEastAsia" w:hAnsiTheme="minorEastAsia"/>
          <w:color w:val="000000" w:themeColor="text1"/>
          <w:sz w:val="28"/>
          <w:szCs w:val="28"/>
          <w:highlight w:val="none"/>
          <w14:textFill>
            <w14:solidFill>
              <w14:schemeClr w14:val="tx1"/>
            </w14:solidFill>
          </w14:textFill>
        </w:rPr>
        <w:t>1、服务期限</w:t>
      </w:r>
      <w:bookmarkEnd w:id="38"/>
    </w:p>
    <w:p w14:paraId="54D8AFA3">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服务期限：7个月。</w:t>
      </w:r>
    </w:p>
    <w:p w14:paraId="4C0B9070">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bookmarkStart w:id="39" w:name="_Toc19180"/>
      <w:r>
        <w:rPr>
          <w:rFonts w:hint="eastAsia" w:asciiTheme="minorEastAsia" w:hAnsiTheme="minorEastAsia"/>
          <w:color w:val="000000" w:themeColor="text1"/>
          <w:sz w:val="28"/>
          <w:szCs w:val="28"/>
          <w:highlight w:val="none"/>
          <w14:textFill>
            <w14:solidFill>
              <w14:schemeClr w14:val="tx1"/>
            </w14:solidFill>
          </w14:textFill>
        </w:rPr>
        <w:t>2、服务地点</w:t>
      </w:r>
      <w:bookmarkEnd w:id="39"/>
    </w:p>
    <w:p w14:paraId="332E0975">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采购人指定地点。</w:t>
      </w:r>
    </w:p>
    <w:p w14:paraId="17853643">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bookmarkStart w:id="40" w:name="_Toc13805"/>
      <w:r>
        <w:rPr>
          <w:rFonts w:hint="eastAsia" w:asciiTheme="minorEastAsia" w:hAnsiTheme="minorEastAsia"/>
          <w:color w:val="000000" w:themeColor="text1"/>
          <w:sz w:val="28"/>
          <w:szCs w:val="28"/>
          <w:highlight w:val="none"/>
          <w14:textFill>
            <w14:solidFill>
              <w14:schemeClr w14:val="tx1"/>
            </w14:solidFill>
          </w14:textFill>
        </w:rPr>
        <w:t>3、支付方式</w:t>
      </w:r>
      <w:bookmarkEnd w:id="40"/>
    </w:p>
    <w:p w14:paraId="370A120B">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付款条件说明：合同生效后，根据每月考核结果，达到付款条件起30日，支付合同总金额的100.00%。</w:t>
      </w:r>
    </w:p>
    <w:p w14:paraId="31788085">
      <w:pPr>
        <w:pStyle w:val="4"/>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41" w:name="_Toc23597"/>
      <w:r>
        <w:rPr>
          <w:rFonts w:hint="eastAsia" w:ascii="黑体" w:hAnsi="黑体" w:eastAsia="黑体" w:cs="黑体"/>
          <w:b w:val="0"/>
          <w:bCs w:val="0"/>
          <w:sz w:val="28"/>
          <w:szCs w:val="28"/>
          <w:lang w:val="zh-CN"/>
        </w:rPr>
        <w:t>四、其他要求</w:t>
      </w:r>
      <w:bookmarkEnd w:id="41"/>
    </w:p>
    <w:p w14:paraId="48E3579B">
      <w:pPr>
        <w:tabs>
          <w:tab w:val="left" w:pos="180"/>
        </w:tabs>
        <w:spacing w:line="500" w:lineRule="exact"/>
        <w:ind w:firstLine="560" w:firstLineChars="200"/>
        <w:rPr>
          <w:rFonts w:ascii="宋体" w:hAnsi="宋体" w:cs="宋体"/>
          <w:color w:val="000000"/>
          <w:sz w:val="28"/>
          <w:szCs w:val="28"/>
          <w:highlight w:val="none"/>
        </w:rPr>
      </w:pPr>
      <w:r>
        <w:rPr>
          <w:rFonts w:hint="eastAsia" w:ascii="宋体" w:hAnsi="宋体" w:cs="宋体"/>
          <w:color w:val="000000"/>
          <w:sz w:val="28"/>
          <w:szCs w:val="28"/>
          <w:highlight w:val="none"/>
        </w:rPr>
        <w:t>未尽事宜由采购人及成交供应商在签订合同时协商解决。</w:t>
      </w:r>
    </w:p>
    <w:p w14:paraId="044EB00B">
      <w:pPr>
        <w:widowControl/>
        <w:jc w:val="left"/>
        <w:rPr>
          <w:rFonts w:ascii="宋体" w:hAnsi="宋体" w:cs="宋体"/>
          <w:color w:val="000000"/>
          <w:sz w:val="28"/>
          <w:szCs w:val="28"/>
          <w:highlight w:val="none"/>
        </w:rPr>
      </w:pPr>
      <w:r>
        <w:rPr>
          <w:rFonts w:ascii="宋体" w:hAnsi="宋体" w:cs="宋体"/>
          <w:color w:val="000000"/>
          <w:sz w:val="28"/>
          <w:szCs w:val="28"/>
          <w:highlight w:val="none"/>
        </w:rPr>
        <w:br w:type="page"/>
      </w:r>
    </w:p>
    <w:p w14:paraId="267764D5">
      <w:pPr>
        <w:pStyle w:val="22"/>
        <w:rPr>
          <w:rFonts w:hint="eastAsia" w:ascii="方正小标宋简体" w:hAnsi="方正小标宋简体" w:eastAsia="方正小标宋简体" w:cs="方正小标宋简体"/>
          <w:b w:val="0"/>
          <w:bCs w:val="0"/>
          <w:lang w:val="en-US" w:eastAsia="zh-CN"/>
        </w:rPr>
      </w:pPr>
      <w:bookmarkStart w:id="42" w:name="_Toc4566"/>
      <w:r>
        <w:rPr>
          <w:rFonts w:hint="eastAsia" w:ascii="方正小标宋简体" w:hAnsi="方正小标宋简体" w:eastAsia="方正小标宋简体" w:cs="方正小标宋简体"/>
          <w:b w:val="0"/>
          <w:bCs w:val="0"/>
          <w:lang w:val="en-US" w:eastAsia="zh-CN"/>
        </w:rPr>
        <w:t>第五章 比选申请文件格式</w:t>
      </w:r>
      <w:bookmarkEnd w:id="42"/>
    </w:p>
    <w:p w14:paraId="7BB6514C">
      <w:pPr>
        <w:pStyle w:val="4"/>
      </w:pPr>
      <w:bookmarkStart w:id="43" w:name="_Toc7435"/>
      <w:r>
        <w:rPr>
          <w:rFonts w:hint="eastAsia"/>
        </w:rPr>
        <w:t>一、比选申请函</w:t>
      </w:r>
      <w:bookmarkEnd w:id="43"/>
    </w:p>
    <w:p w14:paraId="26E0C21D">
      <w:pPr>
        <w:snapToGrid w:val="0"/>
        <w:spacing w:line="540" w:lineRule="exact"/>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14:textFill>
            <w14:solidFill>
              <w14:schemeClr w14:val="tx1"/>
            </w14:solidFill>
          </w14:textFill>
        </w:rPr>
        <w:t>：</w:t>
      </w:r>
    </w:p>
    <w:p w14:paraId="66F6824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5D77077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772911D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68D2342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51D29F7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4ADC7B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27615CF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70183A2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14:paraId="37C9459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755EF1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14:paraId="27B4737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14:paraId="423570F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14:paraId="11BAEBEE">
      <w:pPr>
        <w:pStyle w:val="4"/>
      </w:pPr>
      <w:bookmarkStart w:id="44" w:name="_Toc18060"/>
      <w:r>
        <w:rPr>
          <w:rFonts w:hint="eastAsia"/>
        </w:rPr>
        <w:t>二、承诺函</w:t>
      </w:r>
      <w:bookmarkEnd w:id="44"/>
      <w:r>
        <w:rPr>
          <w:rFonts w:hint="eastAsia"/>
        </w:rPr>
        <w:t xml:space="preserve"> </w:t>
      </w:r>
    </w:p>
    <w:p w14:paraId="5ACBAC36">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致：</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（比选人）: </w:t>
      </w:r>
    </w:p>
    <w:p w14:paraId="319455B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我公司作为本次采购项目的比选申请人，根据必须按文件文件要求，现郑重承诺如下： </w:t>
      </w:r>
    </w:p>
    <w:p w14:paraId="25449065">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一、具备《中华人民共和国政府采购法》和本项目规定的条件： </w:t>
      </w:r>
    </w:p>
    <w:p w14:paraId="4C04EFC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（一）具有独立承担民事责任的能力； </w:t>
      </w:r>
    </w:p>
    <w:p w14:paraId="498FC02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（二）具有良好的商业信誉； </w:t>
      </w:r>
    </w:p>
    <w:p w14:paraId="3EA7832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（三）具有履行合同所必需的设备和专业技术能力； </w:t>
      </w:r>
    </w:p>
    <w:p w14:paraId="5F0A5FA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（四）有依法缴纳税收和社会保障资金的良好记录； </w:t>
      </w:r>
    </w:p>
    <w:p w14:paraId="63F1E353">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4C13754C">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（六）法律、行政法规规定的其他条件； </w:t>
      </w:r>
    </w:p>
    <w:p w14:paraId="3A15748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（七）根据采购项目提出的特殊条件。</w:t>
      </w:r>
    </w:p>
    <w:p w14:paraId="43CC9CB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1.本项目不属于联合体参加；</w:t>
      </w:r>
    </w:p>
    <w:p w14:paraId="7C736B7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2.本项目不进行合同分包；</w:t>
      </w:r>
    </w:p>
    <w:p w14:paraId="0B82F8C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34848D9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1919139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7708656C">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0DB8F55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595DED3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1D683B8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DF866E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61990B1">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0D782A11">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6437FE21">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6BFCABB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A4D2D51">
      <w:pPr>
        <w:pStyle w:val="4"/>
        <w:rPr>
          <w:rStyle w:val="48"/>
          <w:b/>
          <w:bCs/>
        </w:rPr>
      </w:pPr>
      <w:r>
        <w:rPr>
          <w:rFonts w:hint="eastAsia"/>
        </w:rPr>
        <w:br w:type="page"/>
      </w:r>
      <w:bookmarkStart w:id="45" w:name="_Toc14747"/>
      <w:r>
        <w:rPr>
          <w:rFonts w:hint="eastAsia"/>
        </w:rPr>
        <w:t>三、廉政承诺书</w:t>
      </w:r>
      <w:bookmarkEnd w:id="45"/>
    </w:p>
    <w:p w14:paraId="72B0CAD5">
      <w:pPr>
        <w:pStyle w:val="9"/>
      </w:pPr>
    </w:p>
    <w:p w14:paraId="20325EA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的比选，现郑重承诺： </w:t>
      </w:r>
    </w:p>
    <w:p w14:paraId="1026E9D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4DD6068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0477A07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以上承诺如有违反，请严肃处理，欢迎监督举报！ </w:t>
      </w:r>
    </w:p>
    <w:p w14:paraId="00435B4A">
      <w:pPr>
        <w:pStyle w:val="9"/>
      </w:pPr>
    </w:p>
    <w:p w14:paraId="129B0BFF">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078631F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11FEDA6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65EAE047">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br w:type="page"/>
      </w:r>
    </w:p>
    <w:p w14:paraId="60B2C55E">
      <w:pPr>
        <w:pStyle w:val="4"/>
      </w:pPr>
      <w:bookmarkStart w:id="46" w:name="_Toc24297"/>
      <w:r>
        <w:rPr>
          <w:rFonts w:hint="eastAsia"/>
        </w:rPr>
        <w:t>四、法定代表人身份证明</w:t>
      </w:r>
      <w:bookmarkEnd w:id="46"/>
    </w:p>
    <w:p w14:paraId="7A3AF238">
      <w:pPr>
        <w:spacing w:line="240" w:lineRule="exact"/>
        <w:jc w:val="center"/>
        <w:rPr>
          <w:rFonts w:ascii="Times New Roman" w:hAnsi="Times New Roman"/>
          <w:color w:val="000000" w:themeColor="text1"/>
          <w:szCs w:val="21"/>
          <w14:textFill>
            <w14:solidFill>
              <w14:schemeClr w14:val="tx1"/>
            </w14:solidFill>
          </w14:textFill>
        </w:rPr>
      </w:pPr>
    </w:p>
    <w:p w14:paraId="1E086170">
      <w:pPr>
        <w:spacing w:line="240" w:lineRule="exact"/>
        <w:jc w:val="center"/>
        <w:rPr>
          <w:rFonts w:ascii="Times New Roman" w:hAnsi="Times New Roman"/>
          <w:color w:val="000000" w:themeColor="text1"/>
          <w:szCs w:val="21"/>
          <w14:textFill>
            <w14:solidFill>
              <w14:schemeClr w14:val="tx1"/>
            </w14:solidFill>
          </w14:textFill>
        </w:rPr>
      </w:pPr>
    </w:p>
    <w:p w14:paraId="726D7D1B">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14:paraId="1D3BBE98">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14:paraId="465FB0A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14:paraId="67F1E27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12479DF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14:paraId="18D8938B">
      <w:pPr>
        <w:spacing w:line="580" w:lineRule="exact"/>
        <w:ind w:firstLine="560" w:firstLineChars="200"/>
        <w:rPr>
          <w:rFonts w:ascii="宋体" w:hAnsi="宋体"/>
          <w:color w:val="000000" w:themeColor="text1"/>
          <w:sz w:val="28"/>
          <w:szCs w:val="28"/>
          <w14:textFill>
            <w14:solidFill>
              <w14:schemeClr w14:val="tx1"/>
            </w14:solidFill>
          </w14:textFill>
        </w:rPr>
      </w:pPr>
    </w:p>
    <w:p w14:paraId="251B804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14:paraId="4F7C998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w:t>
      </w:r>
    </w:p>
    <w:p w14:paraId="1E80E19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14:paraId="10AC5BF1">
      <w:pPr>
        <w:spacing w:line="580" w:lineRule="exact"/>
        <w:ind w:firstLine="560" w:firstLineChars="200"/>
        <w:rPr>
          <w:rFonts w:ascii="宋体" w:hAnsi="宋体"/>
          <w:color w:val="000000" w:themeColor="text1"/>
          <w:sz w:val="28"/>
          <w:szCs w:val="28"/>
          <w:u w:val="single"/>
          <w14:textFill>
            <w14:solidFill>
              <w14:schemeClr w14:val="tx1"/>
            </w14:solidFill>
          </w14:textFill>
        </w:rPr>
      </w:pPr>
    </w:p>
    <w:p w14:paraId="5073FA93">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14:paraId="5CAD6D6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995F2EC">
      <w:pPr>
        <w:spacing w:line="580" w:lineRule="exact"/>
        <w:ind w:firstLine="560" w:firstLineChars="200"/>
        <w:rPr>
          <w:rFonts w:ascii="宋体" w:hAnsi="宋体"/>
          <w:color w:val="000000" w:themeColor="text1"/>
          <w:sz w:val="28"/>
          <w:szCs w:val="28"/>
          <w14:textFill>
            <w14:solidFill>
              <w14:schemeClr w14:val="tx1"/>
            </w14:solidFill>
          </w14:textFill>
        </w:rPr>
      </w:pPr>
    </w:p>
    <w:p w14:paraId="75AE53C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14:paraId="21523E4C">
      <w:pPr>
        <w:rPr>
          <w:rFonts w:ascii="Times New Roman" w:hAnsi="Times New Roman"/>
          <w:color w:val="000000" w:themeColor="text1"/>
          <w:sz w:val="24"/>
          <w14:textFill>
            <w14:solidFill>
              <w14:schemeClr w14:val="tx1"/>
            </w14:solidFill>
          </w14:textFill>
        </w:rPr>
      </w:pPr>
    </w:p>
    <w:p w14:paraId="47DC13D4">
      <w:pPr>
        <w:pStyle w:val="4"/>
        <w:rPr>
          <w:rFonts w:ascii="Times New Roman" w:hAnsi="Times New Roman"/>
          <w:sz w:val="24"/>
        </w:rPr>
      </w:pPr>
      <w:r>
        <w:rPr>
          <w:rFonts w:ascii="Times New Roman" w:hAnsi="Times New Roman"/>
          <w:sz w:val="24"/>
        </w:rPr>
        <w:br w:type="page"/>
      </w:r>
      <w:bookmarkStart w:id="47" w:name="_Toc12112"/>
      <w:bookmarkStart w:id="48" w:name="_Toc19454"/>
      <w:bookmarkStart w:id="49" w:name="_Toc15036"/>
      <w:r>
        <w:rPr>
          <w:rFonts w:hint="eastAsia"/>
        </w:rPr>
        <w:t>五、法定代表人授权委托书</w:t>
      </w:r>
      <w:bookmarkEnd w:id="47"/>
      <w:bookmarkEnd w:id="48"/>
      <w:bookmarkEnd w:id="49"/>
    </w:p>
    <w:p w14:paraId="58F3BF9A">
      <w:pPr>
        <w:rPr>
          <w:rFonts w:ascii="Times New Roman" w:hAnsi="Times New Roman"/>
          <w:color w:val="000000" w:themeColor="text1"/>
          <w:sz w:val="24"/>
          <w14:textFill>
            <w14:solidFill>
              <w14:schemeClr w14:val="tx1"/>
            </w14:solidFill>
          </w14:textFill>
        </w:rPr>
      </w:pPr>
    </w:p>
    <w:p w14:paraId="460852A1">
      <w:pPr>
        <w:spacing w:line="360" w:lineRule="auto"/>
        <w:jc w:val="center"/>
        <w:rPr>
          <w:rFonts w:ascii="Times New Roman" w:hAnsi="Times New Roman"/>
          <w:color w:val="000000" w:themeColor="text1"/>
          <w:sz w:val="24"/>
          <w14:textFill>
            <w14:solidFill>
              <w14:schemeClr w14:val="tx1"/>
            </w14:solidFill>
          </w14:textFill>
        </w:rPr>
      </w:pPr>
    </w:p>
    <w:p w14:paraId="2453513F">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14:paraId="447ED40C">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14:paraId="7E671BC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14:paraId="3D0711E4">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5D3724CF">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14:paraId="12729F87">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023F3BA">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15442C2E">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6F15F30">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FB0E10B">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19BCAF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14:paraId="48B824CE">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0BB5C05E">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3E30E4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31FA7A25">
      <w:pPr>
        <w:spacing w:line="360" w:lineRule="auto"/>
        <w:jc w:val="left"/>
        <w:rPr>
          <w:rFonts w:ascii="宋体" w:hAnsi="宋体"/>
          <w:color w:val="000000" w:themeColor="text1"/>
          <w:sz w:val="28"/>
          <w:szCs w:val="28"/>
          <w14:textFill>
            <w14:solidFill>
              <w14:schemeClr w14:val="tx1"/>
            </w14:solidFill>
          </w14:textFill>
        </w:rPr>
      </w:pPr>
    </w:p>
    <w:p w14:paraId="169E5166">
      <w:pPr>
        <w:spacing w:line="360" w:lineRule="auto"/>
        <w:jc w:val="left"/>
        <w:rPr>
          <w:rFonts w:ascii="宋体" w:hAnsi="宋体"/>
          <w:color w:val="000000" w:themeColor="text1"/>
          <w:sz w:val="28"/>
          <w:szCs w:val="28"/>
          <w14:textFill>
            <w14:solidFill>
              <w14:schemeClr w14:val="tx1"/>
            </w14:solidFill>
          </w14:textFill>
        </w:rPr>
      </w:pPr>
    </w:p>
    <w:p w14:paraId="024FA305">
      <w:r>
        <w:rPr>
          <w:rFonts w:ascii="宋体" w:hAnsi="宋体"/>
          <w:color w:val="000000" w:themeColor="text1"/>
          <w:sz w:val="28"/>
          <w:szCs w:val="28"/>
          <w14:textFill>
            <w14:solidFill>
              <w14:schemeClr w14:val="tx1"/>
            </w14:solidFill>
          </w14:textFill>
        </w:rPr>
        <w:br w:type="page"/>
      </w:r>
    </w:p>
    <w:p w14:paraId="5E7C29FF">
      <w:pPr>
        <w:pStyle w:val="4"/>
      </w:pPr>
      <w:bookmarkStart w:id="50" w:name="_Toc9332"/>
      <w:r>
        <w:rPr>
          <w:rFonts w:hint="eastAsia"/>
        </w:rPr>
        <w:t>六、资格证明材料清单（证明材料附后）</w:t>
      </w:r>
      <w:bookmarkEnd w:id="50"/>
    </w:p>
    <w:p w14:paraId="2F2FA6D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1350BE63">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比选申请人资格要求、相关证明材料清单：</w:t>
      </w:r>
    </w:p>
    <w:p w14:paraId="42720D15">
      <w:pPr>
        <w:spacing w:line="580" w:lineRule="exact"/>
        <w:ind w:firstLine="560" w:firstLineChars="200"/>
        <w:rPr>
          <w:rFonts w:ascii="宋体" w:hAnsi="宋体"/>
          <w:color w:val="000000" w:themeColor="text1"/>
          <w:sz w:val="28"/>
          <w:szCs w:val="28"/>
          <w14:textFill>
            <w14:solidFill>
              <w14:schemeClr w14:val="tx1"/>
            </w14:solidFill>
          </w14:textFill>
        </w:rPr>
      </w:pPr>
      <w:bookmarkStart w:id="51" w:name="_Toc157301603"/>
      <w:bookmarkStart w:id="52" w:name="_Toc335308590"/>
      <w:bookmarkStart w:id="53" w:name="_Toc257725849"/>
      <w:bookmarkStart w:id="54" w:name="_Toc24969"/>
      <w:bookmarkStart w:id="55" w:name="_Toc5147"/>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126D2A9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w:t>
      </w:r>
      <w:r>
        <w:rPr>
          <w:rFonts w:hint="eastAsia" w:ascii="宋体" w:hAnsi="宋体"/>
          <w:color w:val="000000" w:themeColor="text1"/>
          <w:sz w:val="28"/>
          <w:szCs w:val="28"/>
          <w14:textFill>
            <w14:solidFill>
              <w14:schemeClr w14:val="tx1"/>
            </w14:solidFill>
          </w14:textFill>
        </w:rPr>
        <w:t>XX年审计报告……</w:t>
      </w:r>
      <w:r>
        <w:rPr>
          <w:rFonts w:ascii="宋体" w:hAnsi="宋体"/>
          <w:color w:val="000000" w:themeColor="text1"/>
          <w:sz w:val="28"/>
          <w:szCs w:val="28"/>
          <w14:textFill>
            <w14:solidFill>
              <w14:schemeClr w14:val="tx1"/>
            </w14:solidFill>
          </w14:textFill>
        </w:rPr>
        <w:t>】</w:t>
      </w:r>
    </w:p>
    <w:p w14:paraId="7D950D6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承诺函</w:t>
      </w:r>
      <w:r>
        <w:rPr>
          <w:rFonts w:ascii="宋体" w:hAnsi="宋体"/>
          <w:color w:val="000000" w:themeColor="text1"/>
          <w:sz w:val="28"/>
          <w:szCs w:val="28"/>
          <w14:textFill>
            <w14:solidFill>
              <w14:schemeClr w14:val="tx1"/>
            </w14:solidFill>
          </w14:textFill>
        </w:rPr>
        <w:t>）</w:t>
      </w:r>
    </w:p>
    <w:p w14:paraId="2E1416E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w:t>
      </w:r>
      <w:r>
        <w:rPr>
          <w:rFonts w:hint="eastAsia" w:ascii="宋体" w:hAnsi="宋体"/>
          <w:color w:val="000000" w:themeColor="text1"/>
          <w:sz w:val="28"/>
          <w:szCs w:val="28"/>
          <w14:textFill>
            <w14:solidFill>
              <w14:schemeClr w14:val="tx1"/>
            </w14:solidFill>
          </w14:textFill>
        </w:rPr>
        <w:t>XX年X月纳税证明……</w:t>
      </w:r>
      <w:r>
        <w:rPr>
          <w:rFonts w:ascii="宋体" w:hAnsi="宋体"/>
          <w:color w:val="000000" w:themeColor="text1"/>
          <w:sz w:val="28"/>
          <w:szCs w:val="28"/>
          <w14:textFill>
            <w14:solidFill>
              <w14:schemeClr w14:val="tx1"/>
            </w14:solidFill>
          </w14:textFill>
        </w:rPr>
        <w:t>）</w:t>
      </w:r>
    </w:p>
    <w:p w14:paraId="4516216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14:paraId="1141F0B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48358BF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59EB95E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141DF9F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1、本项目不允许联合体参加（承诺函）。</w:t>
      </w:r>
    </w:p>
    <w:p w14:paraId="2C067A3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2、本项目不允许合同分包（承诺函）。</w:t>
      </w:r>
    </w:p>
    <w:p w14:paraId="3D545EE4">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w:t>
      </w:r>
    </w:p>
    <w:p w14:paraId="433A4BC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①法定代表人身份证明</w:t>
      </w:r>
    </w:p>
    <w:p w14:paraId="7F6719FB">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②法定代表人授权委托书</w:t>
      </w:r>
    </w:p>
    <w:p w14:paraId="0ECC8B5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14:paraId="4672259B"/>
    <w:p w14:paraId="37704D32"/>
    <w:p w14:paraId="148C5E14">
      <w:r>
        <w:rPr>
          <w:rFonts w:hint="eastAsia"/>
        </w:rPr>
        <w:br w:type="page"/>
      </w:r>
    </w:p>
    <w:p w14:paraId="6F2077BB">
      <w:pPr>
        <w:pStyle w:val="4"/>
        <w:rPr>
          <w:rFonts w:ascii="Times New Roman" w:hAnsi="Times New Roman"/>
        </w:rPr>
      </w:pPr>
      <w:bookmarkStart w:id="56" w:name="_Toc22497"/>
      <w:r>
        <w:rPr>
          <w:rFonts w:hint="eastAsia"/>
        </w:rPr>
        <w:t>七</w:t>
      </w:r>
      <w:r>
        <w:t>、比选申请人基本情况表</w:t>
      </w:r>
      <w:bookmarkEnd w:id="56"/>
    </w:p>
    <w:p w14:paraId="3E012093">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6BC4F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5FCCC52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14:paraId="0ADC7F61">
            <w:pPr>
              <w:spacing w:line="500" w:lineRule="exact"/>
              <w:jc w:val="center"/>
              <w:rPr>
                <w:rFonts w:ascii="宋体" w:hAnsi="宋体"/>
                <w:color w:val="000000" w:themeColor="text1"/>
                <w:sz w:val="28"/>
                <w:szCs w:val="28"/>
                <w14:textFill>
                  <w14:solidFill>
                    <w14:schemeClr w14:val="tx1"/>
                  </w14:solidFill>
                </w14:textFill>
              </w:rPr>
            </w:pPr>
          </w:p>
        </w:tc>
      </w:tr>
      <w:tr w14:paraId="20267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0868845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14:paraId="1CBDC17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326CD7A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14:paraId="1D3CF1D2">
            <w:pPr>
              <w:spacing w:line="500" w:lineRule="exact"/>
              <w:jc w:val="center"/>
              <w:rPr>
                <w:rFonts w:ascii="宋体" w:hAnsi="宋体"/>
                <w:color w:val="000000" w:themeColor="text1"/>
                <w:sz w:val="28"/>
                <w:szCs w:val="28"/>
                <w14:textFill>
                  <w14:solidFill>
                    <w14:schemeClr w14:val="tx1"/>
                  </w14:solidFill>
                </w14:textFill>
              </w:rPr>
            </w:pPr>
          </w:p>
        </w:tc>
      </w:tr>
      <w:tr w14:paraId="11B44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4F09FB9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14:paraId="6D02AD8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14:paraId="3622539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1384F00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2B376797">
            <w:pPr>
              <w:spacing w:line="500" w:lineRule="exact"/>
              <w:jc w:val="center"/>
              <w:rPr>
                <w:rFonts w:ascii="宋体" w:hAnsi="宋体"/>
                <w:color w:val="000000" w:themeColor="text1"/>
                <w:sz w:val="28"/>
                <w:szCs w:val="28"/>
                <w14:textFill>
                  <w14:solidFill>
                    <w14:schemeClr w14:val="tx1"/>
                  </w14:solidFill>
                </w14:textFill>
              </w:rPr>
            </w:pPr>
          </w:p>
        </w:tc>
      </w:tr>
      <w:tr w14:paraId="2FA1C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37B90736">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14:paraId="6B4729A9">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14:paraId="120562E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4269019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14:paraId="00B6BDD0">
            <w:pPr>
              <w:spacing w:line="500" w:lineRule="exact"/>
              <w:jc w:val="center"/>
              <w:rPr>
                <w:rFonts w:ascii="宋体" w:hAnsi="宋体"/>
                <w:color w:val="000000" w:themeColor="text1"/>
                <w:sz w:val="28"/>
                <w:szCs w:val="28"/>
                <w14:textFill>
                  <w14:solidFill>
                    <w14:schemeClr w14:val="tx1"/>
                  </w14:solidFill>
                </w14:textFill>
              </w:rPr>
            </w:pPr>
          </w:p>
        </w:tc>
      </w:tr>
      <w:tr w14:paraId="49321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030FDAA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14:paraId="19242AB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27FD2733">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28AFE9C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6CF7946B">
            <w:pPr>
              <w:spacing w:line="500" w:lineRule="exact"/>
              <w:jc w:val="center"/>
              <w:rPr>
                <w:rFonts w:ascii="宋体" w:hAnsi="宋体"/>
                <w:color w:val="000000" w:themeColor="text1"/>
                <w:sz w:val="28"/>
                <w:szCs w:val="28"/>
                <w14:textFill>
                  <w14:solidFill>
                    <w14:schemeClr w14:val="tx1"/>
                  </w14:solidFill>
                </w14:textFill>
              </w:rPr>
            </w:pPr>
          </w:p>
        </w:tc>
      </w:tr>
      <w:tr w14:paraId="5DB83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5860029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14:paraId="3600877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12A617C8">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2E64E6CD">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552C4724">
            <w:pPr>
              <w:spacing w:line="500" w:lineRule="exact"/>
              <w:jc w:val="center"/>
              <w:rPr>
                <w:rFonts w:ascii="宋体" w:hAnsi="宋体"/>
                <w:color w:val="000000" w:themeColor="text1"/>
                <w:sz w:val="28"/>
                <w:szCs w:val="28"/>
                <w14:textFill>
                  <w14:solidFill>
                    <w14:schemeClr w14:val="tx1"/>
                  </w14:solidFill>
                </w14:textFill>
              </w:rPr>
            </w:pPr>
          </w:p>
        </w:tc>
      </w:tr>
      <w:tr w14:paraId="5237E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1294639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14:paraId="350BDC20">
            <w:pPr>
              <w:spacing w:line="500" w:lineRule="exact"/>
              <w:jc w:val="center"/>
              <w:rPr>
                <w:rFonts w:ascii="宋体" w:hAnsi="宋体"/>
                <w:color w:val="000000" w:themeColor="text1"/>
                <w:sz w:val="28"/>
                <w:szCs w:val="28"/>
                <w14:textFill>
                  <w14:solidFill>
                    <w14:schemeClr w14:val="tx1"/>
                  </w14:solidFill>
                </w14:textFill>
              </w:rPr>
            </w:pPr>
          </w:p>
        </w:tc>
      </w:tr>
      <w:tr w14:paraId="6ED5C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3DB22D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14:paraId="7F3EBE06">
            <w:pPr>
              <w:spacing w:line="500" w:lineRule="exact"/>
              <w:jc w:val="left"/>
              <w:rPr>
                <w:rFonts w:ascii="宋体" w:hAnsi="宋体"/>
                <w:color w:val="000000" w:themeColor="text1"/>
                <w:sz w:val="28"/>
                <w:szCs w:val="28"/>
                <w14:textFill>
                  <w14:solidFill>
                    <w14:schemeClr w14:val="tx1"/>
                  </w14:solidFill>
                </w14:textFill>
              </w:rPr>
            </w:pPr>
          </w:p>
        </w:tc>
      </w:tr>
      <w:tr w14:paraId="47CB1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487E91F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3759572A">
            <w:pPr>
              <w:spacing w:line="500" w:lineRule="exact"/>
              <w:jc w:val="left"/>
              <w:rPr>
                <w:rFonts w:ascii="宋体" w:hAnsi="宋体"/>
                <w:color w:val="000000" w:themeColor="text1"/>
                <w:sz w:val="28"/>
                <w:szCs w:val="28"/>
                <w14:textFill>
                  <w14:solidFill>
                    <w14:schemeClr w14:val="tx1"/>
                  </w14:solidFill>
                </w14:textFill>
              </w:rPr>
            </w:pPr>
          </w:p>
        </w:tc>
      </w:tr>
      <w:tr w14:paraId="39D58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3DF187F1">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9615C00">
            <w:pPr>
              <w:spacing w:line="500" w:lineRule="exact"/>
              <w:jc w:val="left"/>
              <w:rPr>
                <w:rFonts w:ascii="宋体" w:hAnsi="宋体"/>
                <w:color w:val="000000" w:themeColor="text1"/>
                <w:sz w:val="28"/>
                <w:szCs w:val="28"/>
                <w14:textFill>
                  <w14:solidFill>
                    <w14:schemeClr w14:val="tx1"/>
                  </w14:solidFill>
                </w14:textFill>
              </w:rPr>
            </w:pPr>
          </w:p>
        </w:tc>
      </w:tr>
      <w:tr w14:paraId="2E82C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522038B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145823C9">
            <w:pPr>
              <w:spacing w:line="500" w:lineRule="exact"/>
              <w:jc w:val="left"/>
              <w:rPr>
                <w:rFonts w:ascii="宋体" w:hAnsi="宋体"/>
                <w:color w:val="000000" w:themeColor="text1"/>
                <w:sz w:val="28"/>
                <w:szCs w:val="28"/>
                <w14:textFill>
                  <w14:solidFill>
                    <w14:schemeClr w14:val="tx1"/>
                  </w14:solidFill>
                </w14:textFill>
              </w:rPr>
            </w:pPr>
          </w:p>
        </w:tc>
      </w:tr>
      <w:tr w14:paraId="56FDC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09D2BCA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14:paraId="2D9E7C9B">
            <w:pPr>
              <w:spacing w:line="500" w:lineRule="exact"/>
              <w:jc w:val="left"/>
              <w:rPr>
                <w:rFonts w:ascii="宋体" w:hAnsi="宋体"/>
                <w:color w:val="000000" w:themeColor="text1"/>
                <w:sz w:val="28"/>
                <w:szCs w:val="28"/>
                <w14:textFill>
                  <w14:solidFill>
                    <w14:schemeClr w14:val="tx1"/>
                  </w14:solidFill>
                </w14:textFill>
              </w:rPr>
            </w:pPr>
          </w:p>
        </w:tc>
      </w:tr>
      <w:tr w14:paraId="72C4B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01A244B8">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14:paraId="1E81CEBE">
            <w:pPr>
              <w:spacing w:line="500" w:lineRule="exact"/>
              <w:rPr>
                <w:rFonts w:ascii="宋体" w:hAnsi="宋体"/>
                <w:color w:val="000000" w:themeColor="text1"/>
                <w:sz w:val="28"/>
                <w:szCs w:val="28"/>
                <w14:textFill>
                  <w14:solidFill>
                    <w14:schemeClr w14:val="tx1"/>
                  </w14:solidFill>
                </w14:textFill>
              </w:rPr>
            </w:pPr>
          </w:p>
        </w:tc>
      </w:tr>
    </w:tbl>
    <w:p w14:paraId="6AA3DCF8">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51"/>
    <w:bookmarkEnd w:id="52"/>
    <w:bookmarkEnd w:id="53"/>
    <w:bookmarkEnd w:id="54"/>
    <w:bookmarkEnd w:id="55"/>
    <w:p w14:paraId="02300967">
      <w:pPr>
        <w:pStyle w:val="4"/>
      </w:pPr>
      <w:bookmarkStart w:id="57" w:name="_Toc142053187"/>
      <w:bookmarkStart w:id="58" w:name="_Toc141859464"/>
      <w:bookmarkStart w:id="59" w:name="_Toc29537"/>
      <w:bookmarkStart w:id="60" w:name="_Toc141859399"/>
      <w:r>
        <w:rPr>
          <w:rFonts w:hint="eastAsia"/>
        </w:rPr>
        <w:t>八</w:t>
      </w:r>
      <w:r>
        <w:t>、报价明细表</w:t>
      </w:r>
      <w:bookmarkEnd w:id="57"/>
      <w:bookmarkEnd w:id="58"/>
      <w:bookmarkEnd w:id="59"/>
      <w:bookmarkEnd w:id="60"/>
    </w:p>
    <w:p w14:paraId="5379BE28"/>
    <w:tbl>
      <w:tblPr>
        <w:tblStyle w:val="23"/>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4214"/>
        <w:gridCol w:w="1125"/>
        <w:gridCol w:w="1125"/>
        <w:gridCol w:w="1188"/>
        <w:gridCol w:w="1162"/>
      </w:tblGrid>
      <w:tr w14:paraId="455BE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2045C421">
            <w:pPr>
              <w:pStyle w:val="50"/>
              <w:spacing w:line="360" w:lineRule="auto"/>
              <w:ind w:left="144"/>
              <w:rPr>
                <w:rFonts w:cs="Times New Roman"/>
                <w:b/>
                <w:sz w:val="24"/>
                <w:szCs w:val="24"/>
              </w:rPr>
            </w:pPr>
            <w:r>
              <w:rPr>
                <w:rFonts w:cs="Times New Roman"/>
                <w:b/>
                <w:sz w:val="24"/>
                <w:szCs w:val="24"/>
              </w:rPr>
              <w:t>序号</w:t>
            </w:r>
          </w:p>
        </w:tc>
        <w:tc>
          <w:tcPr>
            <w:tcW w:w="4214" w:type="dxa"/>
            <w:vAlign w:val="center"/>
          </w:tcPr>
          <w:p w14:paraId="5E5BA48E">
            <w:pPr>
              <w:spacing w:line="280" w:lineRule="exact"/>
              <w:jc w:val="center"/>
              <w:rPr>
                <w:rFonts w:ascii="宋体" w:hAnsi="宋体"/>
                <w:b/>
                <w:sz w:val="24"/>
              </w:rPr>
            </w:pPr>
            <w:r>
              <w:rPr>
                <w:rFonts w:hint="eastAsia"/>
                <w:b/>
                <w:sz w:val="24"/>
              </w:rPr>
              <w:t>项目名称</w:t>
            </w:r>
          </w:p>
        </w:tc>
        <w:tc>
          <w:tcPr>
            <w:tcW w:w="1125" w:type="dxa"/>
            <w:vAlign w:val="center"/>
          </w:tcPr>
          <w:p w14:paraId="77FC7238">
            <w:pPr>
              <w:spacing w:line="280" w:lineRule="exact"/>
              <w:jc w:val="center"/>
              <w:rPr>
                <w:rFonts w:ascii="宋体" w:hAnsi="宋体"/>
                <w:b/>
                <w:sz w:val="24"/>
              </w:rPr>
            </w:pPr>
            <w:r>
              <w:rPr>
                <w:rFonts w:hint="eastAsia" w:ascii="宋体" w:hAnsi="宋体"/>
                <w:b/>
                <w:sz w:val="24"/>
              </w:rPr>
              <w:t>数量</w:t>
            </w:r>
          </w:p>
        </w:tc>
        <w:tc>
          <w:tcPr>
            <w:tcW w:w="1125" w:type="dxa"/>
            <w:vAlign w:val="center"/>
          </w:tcPr>
          <w:p w14:paraId="11B0FA0F">
            <w:pPr>
              <w:spacing w:line="280" w:lineRule="exact"/>
              <w:jc w:val="center"/>
              <w:rPr>
                <w:rFonts w:ascii="宋体" w:hAnsi="宋体"/>
                <w:b/>
                <w:sz w:val="24"/>
              </w:rPr>
            </w:pPr>
            <w:r>
              <w:rPr>
                <w:rFonts w:hint="eastAsia" w:ascii="宋体" w:hAnsi="宋体"/>
                <w:b/>
                <w:sz w:val="24"/>
              </w:rPr>
              <w:t>单价</w:t>
            </w:r>
          </w:p>
          <w:p w14:paraId="1D3B98CC">
            <w:pPr>
              <w:spacing w:line="280" w:lineRule="exact"/>
              <w:jc w:val="center"/>
              <w:rPr>
                <w:rFonts w:ascii="宋体" w:hAnsi="宋体"/>
                <w:b/>
                <w:sz w:val="24"/>
              </w:rPr>
            </w:pPr>
            <w:r>
              <w:rPr>
                <w:rFonts w:hint="eastAsia" w:ascii="宋体" w:hAnsi="宋体"/>
                <w:b/>
                <w:sz w:val="24"/>
              </w:rPr>
              <w:t>(元)</w:t>
            </w:r>
          </w:p>
        </w:tc>
        <w:tc>
          <w:tcPr>
            <w:tcW w:w="1188" w:type="dxa"/>
            <w:vAlign w:val="center"/>
          </w:tcPr>
          <w:p w14:paraId="52656FA4">
            <w:pPr>
              <w:spacing w:line="280" w:lineRule="exact"/>
              <w:jc w:val="center"/>
              <w:rPr>
                <w:rFonts w:ascii="宋体" w:hAnsi="宋体"/>
                <w:b/>
                <w:sz w:val="24"/>
              </w:rPr>
            </w:pPr>
            <w:r>
              <w:rPr>
                <w:rFonts w:hint="eastAsia" w:ascii="宋体" w:hAnsi="宋体"/>
                <w:b/>
                <w:sz w:val="24"/>
              </w:rPr>
              <w:t>总价</w:t>
            </w:r>
          </w:p>
          <w:p w14:paraId="7E96B9CD">
            <w:pPr>
              <w:spacing w:line="280" w:lineRule="exact"/>
              <w:jc w:val="center"/>
              <w:rPr>
                <w:rFonts w:ascii="宋体" w:hAnsi="宋体"/>
                <w:b/>
                <w:sz w:val="24"/>
              </w:rPr>
            </w:pPr>
            <w:r>
              <w:rPr>
                <w:rFonts w:hint="eastAsia" w:ascii="宋体" w:hAnsi="宋体"/>
                <w:b/>
                <w:sz w:val="24"/>
              </w:rPr>
              <w:t>(元)</w:t>
            </w:r>
          </w:p>
        </w:tc>
        <w:tc>
          <w:tcPr>
            <w:tcW w:w="1162" w:type="dxa"/>
            <w:vAlign w:val="center"/>
          </w:tcPr>
          <w:p w14:paraId="5BECDF95">
            <w:pPr>
              <w:pStyle w:val="50"/>
              <w:spacing w:line="360" w:lineRule="auto"/>
              <w:ind w:left="94" w:right="85"/>
              <w:jc w:val="center"/>
              <w:rPr>
                <w:rFonts w:cs="Times New Roman"/>
                <w:b/>
                <w:sz w:val="24"/>
                <w:szCs w:val="24"/>
              </w:rPr>
            </w:pPr>
            <w:r>
              <w:rPr>
                <w:rFonts w:cs="Times New Roman"/>
                <w:b/>
                <w:sz w:val="24"/>
                <w:szCs w:val="24"/>
              </w:rPr>
              <w:t>备注</w:t>
            </w:r>
          </w:p>
        </w:tc>
      </w:tr>
      <w:tr w14:paraId="24C8D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354CA3A1">
            <w:pPr>
              <w:pStyle w:val="50"/>
              <w:spacing w:line="360" w:lineRule="auto"/>
              <w:rPr>
                <w:rFonts w:ascii="仿宋" w:hAnsi="仿宋" w:eastAsia="仿宋" w:cs="Times New Roman"/>
              </w:rPr>
            </w:pPr>
          </w:p>
        </w:tc>
        <w:tc>
          <w:tcPr>
            <w:tcW w:w="4214" w:type="dxa"/>
            <w:vAlign w:val="center"/>
          </w:tcPr>
          <w:p w14:paraId="59BF68BA">
            <w:pPr>
              <w:pStyle w:val="50"/>
              <w:spacing w:line="360" w:lineRule="auto"/>
              <w:rPr>
                <w:rFonts w:ascii="仿宋" w:hAnsi="仿宋" w:eastAsia="仿宋" w:cs="Times New Roman"/>
              </w:rPr>
            </w:pPr>
          </w:p>
        </w:tc>
        <w:tc>
          <w:tcPr>
            <w:tcW w:w="1125" w:type="dxa"/>
            <w:vAlign w:val="center"/>
          </w:tcPr>
          <w:p w14:paraId="282147F6">
            <w:pPr>
              <w:pStyle w:val="50"/>
              <w:spacing w:line="360" w:lineRule="auto"/>
              <w:jc w:val="center"/>
              <w:rPr>
                <w:rFonts w:ascii="仿宋" w:hAnsi="仿宋" w:eastAsia="仿宋" w:cs="Times New Roman"/>
                <w:lang w:val="en-US"/>
              </w:rPr>
            </w:pPr>
          </w:p>
        </w:tc>
        <w:tc>
          <w:tcPr>
            <w:tcW w:w="1125" w:type="dxa"/>
            <w:vAlign w:val="center"/>
          </w:tcPr>
          <w:p w14:paraId="307BD54E">
            <w:pPr>
              <w:pStyle w:val="50"/>
              <w:spacing w:line="360" w:lineRule="auto"/>
              <w:rPr>
                <w:rFonts w:ascii="仿宋" w:hAnsi="仿宋" w:eastAsia="仿宋" w:cs="Times New Roman"/>
              </w:rPr>
            </w:pPr>
          </w:p>
        </w:tc>
        <w:tc>
          <w:tcPr>
            <w:tcW w:w="1188" w:type="dxa"/>
            <w:vAlign w:val="center"/>
          </w:tcPr>
          <w:p w14:paraId="1705804C">
            <w:pPr>
              <w:pStyle w:val="50"/>
              <w:spacing w:line="360" w:lineRule="auto"/>
              <w:rPr>
                <w:rFonts w:ascii="仿宋" w:hAnsi="仿宋" w:eastAsia="仿宋" w:cs="Times New Roman"/>
              </w:rPr>
            </w:pPr>
          </w:p>
        </w:tc>
        <w:tc>
          <w:tcPr>
            <w:tcW w:w="1162" w:type="dxa"/>
            <w:vAlign w:val="center"/>
          </w:tcPr>
          <w:p w14:paraId="366F265C">
            <w:pPr>
              <w:pStyle w:val="50"/>
              <w:spacing w:line="360" w:lineRule="auto"/>
              <w:rPr>
                <w:rFonts w:ascii="仿宋" w:hAnsi="仿宋" w:eastAsia="仿宋" w:cs="Times New Roman"/>
              </w:rPr>
            </w:pPr>
          </w:p>
        </w:tc>
      </w:tr>
      <w:tr w14:paraId="7EC34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315B7400">
            <w:pPr>
              <w:pStyle w:val="50"/>
              <w:spacing w:line="360" w:lineRule="auto"/>
              <w:jc w:val="center"/>
              <w:rPr>
                <w:b/>
                <w:sz w:val="24"/>
              </w:rPr>
            </w:pPr>
          </w:p>
        </w:tc>
        <w:tc>
          <w:tcPr>
            <w:tcW w:w="8814" w:type="dxa"/>
            <w:gridSpan w:val="5"/>
            <w:vAlign w:val="center"/>
          </w:tcPr>
          <w:p w14:paraId="355D8D9A">
            <w:pPr>
              <w:pStyle w:val="50"/>
              <w:spacing w:line="360" w:lineRule="auto"/>
              <w:jc w:val="center"/>
              <w:rPr>
                <w:rFonts w:ascii="仿宋" w:hAnsi="仿宋" w:eastAsia="仿宋" w:cs="Times New Roman"/>
              </w:rPr>
            </w:pPr>
            <w:r>
              <w:rPr>
                <w:rFonts w:hint="eastAsia"/>
                <w:b/>
                <w:sz w:val="24"/>
              </w:rPr>
              <w:t>合计：</w:t>
            </w:r>
            <w:r>
              <w:rPr>
                <w:rFonts w:hint="eastAsia"/>
                <w:b/>
                <w:sz w:val="24"/>
                <w:lang w:val="en-US"/>
              </w:rPr>
              <w:t xml:space="preserve">           元（大写人民币：                          ）</w:t>
            </w:r>
          </w:p>
        </w:tc>
      </w:tr>
    </w:tbl>
    <w:p w14:paraId="19C41451"/>
    <w:p w14:paraId="25477813">
      <w:pPr>
        <w:spacing w:line="360" w:lineRule="auto"/>
        <w:rPr>
          <w:rFonts w:ascii="Times New Roman" w:hAnsi="Times New Roman" w:eastAsia="仿宋"/>
          <w:color w:val="000000" w:themeColor="text1"/>
          <w:sz w:val="32"/>
          <w:szCs w:val="32"/>
          <w14:textFill>
            <w14:solidFill>
              <w14:schemeClr w14:val="tx1"/>
            </w14:solidFill>
          </w14:textFill>
        </w:rPr>
      </w:pPr>
    </w:p>
    <w:p w14:paraId="5231FFB9">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19864384">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6154C2D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06E14A9">
      <w:pPr>
        <w:widowControl/>
        <w:jc w:val="left"/>
      </w:pPr>
      <w:r>
        <w:br w:type="page"/>
      </w:r>
    </w:p>
    <w:p w14:paraId="206744FB">
      <w:pPr>
        <w:pStyle w:val="4"/>
      </w:pPr>
      <w:bookmarkStart w:id="61" w:name="_Toc31480"/>
      <w:r>
        <w:rPr>
          <w:rFonts w:hint="eastAsia"/>
        </w:rPr>
        <w:t>九、服务要求应答表</w:t>
      </w:r>
      <w:bookmarkEnd w:id="61"/>
    </w:p>
    <w:p w14:paraId="0A310C04"/>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65D9A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62235991">
            <w:pPr>
              <w:pStyle w:val="50"/>
              <w:spacing w:line="360" w:lineRule="auto"/>
              <w:ind w:left="144"/>
              <w:jc w:val="center"/>
              <w:rPr>
                <w:rFonts w:cs="Times New Roman"/>
                <w:b/>
                <w:sz w:val="24"/>
                <w:szCs w:val="24"/>
              </w:rPr>
            </w:pPr>
            <w:r>
              <w:rPr>
                <w:rFonts w:cs="Times New Roman"/>
                <w:b/>
                <w:sz w:val="24"/>
                <w:szCs w:val="24"/>
              </w:rPr>
              <w:t>序号</w:t>
            </w:r>
          </w:p>
        </w:tc>
        <w:tc>
          <w:tcPr>
            <w:tcW w:w="1542" w:type="dxa"/>
            <w:vAlign w:val="center"/>
          </w:tcPr>
          <w:p w14:paraId="3359690E">
            <w:pPr>
              <w:pStyle w:val="50"/>
              <w:spacing w:line="360" w:lineRule="auto"/>
              <w:ind w:left="28"/>
              <w:jc w:val="center"/>
              <w:rPr>
                <w:rFonts w:cs="Times New Roman"/>
                <w:b/>
                <w:sz w:val="24"/>
                <w:szCs w:val="24"/>
              </w:rPr>
            </w:pPr>
            <w:r>
              <w:rPr>
                <w:rFonts w:hint="eastAsia" w:cs="Times New Roman"/>
                <w:b/>
                <w:sz w:val="24"/>
                <w:szCs w:val="24"/>
                <w:lang w:val="en-US"/>
              </w:rPr>
              <w:t>项目</w:t>
            </w:r>
            <w:r>
              <w:rPr>
                <w:rFonts w:hint="eastAsia" w:cs="Times New Roman"/>
                <w:b/>
                <w:sz w:val="24"/>
                <w:szCs w:val="24"/>
              </w:rPr>
              <w:t>名称</w:t>
            </w:r>
          </w:p>
        </w:tc>
        <w:tc>
          <w:tcPr>
            <w:tcW w:w="1467" w:type="dxa"/>
            <w:vAlign w:val="center"/>
          </w:tcPr>
          <w:p w14:paraId="6879D24F">
            <w:pPr>
              <w:pStyle w:val="50"/>
              <w:spacing w:line="360" w:lineRule="auto"/>
              <w:ind w:left="-2" w:leftChars="-1" w:firstLine="67" w:firstLineChars="28"/>
              <w:jc w:val="center"/>
              <w:rPr>
                <w:rFonts w:cs="Times New Roman"/>
                <w:b/>
                <w:sz w:val="24"/>
                <w:szCs w:val="24"/>
                <w:lang w:val="en-US"/>
              </w:rPr>
            </w:pPr>
            <w:r>
              <w:rPr>
                <w:rFonts w:hint="eastAsia" w:cs="Times New Roman"/>
                <w:b/>
                <w:sz w:val="24"/>
                <w:szCs w:val="24"/>
                <w:lang w:val="en-US"/>
              </w:rPr>
              <w:t>服务要求</w:t>
            </w:r>
          </w:p>
        </w:tc>
        <w:tc>
          <w:tcPr>
            <w:tcW w:w="1711" w:type="dxa"/>
            <w:vAlign w:val="center"/>
          </w:tcPr>
          <w:p w14:paraId="4F0D54A3">
            <w:pPr>
              <w:pStyle w:val="50"/>
              <w:spacing w:line="360" w:lineRule="auto"/>
              <w:ind w:left="146" w:right="115" w:hanging="22"/>
              <w:jc w:val="center"/>
              <w:rPr>
                <w:rFonts w:cs="Times New Roman"/>
                <w:b/>
                <w:sz w:val="24"/>
                <w:szCs w:val="24"/>
              </w:rPr>
            </w:pPr>
            <w:r>
              <w:rPr>
                <w:rFonts w:hint="eastAsia" w:cs="Times New Roman"/>
                <w:b/>
                <w:sz w:val="24"/>
                <w:szCs w:val="24"/>
                <w:lang w:val="en-US"/>
              </w:rPr>
              <w:t>服务</w:t>
            </w:r>
            <w:r>
              <w:rPr>
                <w:rFonts w:hint="eastAsia" w:cs="Times New Roman"/>
                <w:b/>
                <w:sz w:val="24"/>
                <w:szCs w:val="24"/>
              </w:rPr>
              <w:t>应答</w:t>
            </w:r>
          </w:p>
        </w:tc>
        <w:tc>
          <w:tcPr>
            <w:tcW w:w="1677" w:type="dxa"/>
            <w:vAlign w:val="center"/>
          </w:tcPr>
          <w:p w14:paraId="3C3A7AAE">
            <w:pPr>
              <w:pStyle w:val="50"/>
              <w:spacing w:before="102" w:line="360" w:lineRule="auto"/>
              <w:ind w:left="112" w:right="105"/>
              <w:jc w:val="center"/>
              <w:rPr>
                <w:rFonts w:cs="Times New Roman"/>
                <w:b/>
                <w:sz w:val="24"/>
                <w:szCs w:val="24"/>
              </w:rPr>
            </w:pPr>
            <w:r>
              <w:rPr>
                <w:rFonts w:cs="Times New Roman"/>
                <w:b/>
                <w:sz w:val="24"/>
                <w:szCs w:val="24"/>
              </w:rPr>
              <w:t>偏离情况</w:t>
            </w:r>
          </w:p>
          <w:p w14:paraId="342AAE1B">
            <w:pPr>
              <w:pStyle w:val="50"/>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14:paraId="3E1149D0">
            <w:pPr>
              <w:pStyle w:val="50"/>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14:paraId="6FE29261">
            <w:pPr>
              <w:pStyle w:val="50"/>
              <w:spacing w:line="360" w:lineRule="auto"/>
              <w:jc w:val="center"/>
              <w:rPr>
                <w:rFonts w:cs="Times New Roman"/>
                <w:b/>
                <w:sz w:val="24"/>
                <w:szCs w:val="24"/>
              </w:rPr>
            </w:pPr>
          </w:p>
          <w:p w14:paraId="0A2F94C0">
            <w:pPr>
              <w:pStyle w:val="50"/>
              <w:spacing w:line="360" w:lineRule="auto"/>
              <w:ind w:left="94" w:right="85"/>
              <w:jc w:val="center"/>
              <w:rPr>
                <w:rFonts w:cs="Times New Roman"/>
                <w:b/>
                <w:sz w:val="24"/>
                <w:szCs w:val="24"/>
              </w:rPr>
            </w:pPr>
            <w:r>
              <w:rPr>
                <w:rFonts w:cs="Times New Roman"/>
                <w:b/>
                <w:sz w:val="24"/>
                <w:szCs w:val="24"/>
              </w:rPr>
              <w:t>备注</w:t>
            </w:r>
          </w:p>
        </w:tc>
      </w:tr>
      <w:tr w14:paraId="5CA23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37832DFF">
            <w:pPr>
              <w:pStyle w:val="50"/>
              <w:spacing w:line="360" w:lineRule="auto"/>
              <w:rPr>
                <w:rFonts w:ascii="仿宋" w:hAnsi="仿宋" w:eastAsia="仿宋" w:cs="Times New Roman"/>
              </w:rPr>
            </w:pPr>
          </w:p>
        </w:tc>
        <w:tc>
          <w:tcPr>
            <w:tcW w:w="1542" w:type="dxa"/>
            <w:vAlign w:val="center"/>
          </w:tcPr>
          <w:p w14:paraId="36E41FE9">
            <w:pPr>
              <w:pStyle w:val="50"/>
              <w:spacing w:line="360" w:lineRule="auto"/>
              <w:rPr>
                <w:rFonts w:ascii="仿宋" w:hAnsi="仿宋" w:eastAsia="仿宋" w:cs="Times New Roman"/>
              </w:rPr>
            </w:pPr>
          </w:p>
        </w:tc>
        <w:tc>
          <w:tcPr>
            <w:tcW w:w="1467" w:type="dxa"/>
            <w:vAlign w:val="center"/>
          </w:tcPr>
          <w:p w14:paraId="556B650E">
            <w:pPr>
              <w:pStyle w:val="50"/>
              <w:spacing w:line="360" w:lineRule="auto"/>
              <w:rPr>
                <w:rFonts w:ascii="仿宋" w:hAnsi="仿宋" w:eastAsia="仿宋" w:cs="Times New Roman"/>
              </w:rPr>
            </w:pPr>
          </w:p>
        </w:tc>
        <w:tc>
          <w:tcPr>
            <w:tcW w:w="1711" w:type="dxa"/>
            <w:vAlign w:val="center"/>
          </w:tcPr>
          <w:p w14:paraId="4330A1E8">
            <w:pPr>
              <w:pStyle w:val="50"/>
              <w:spacing w:line="360" w:lineRule="auto"/>
              <w:rPr>
                <w:rFonts w:ascii="仿宋" w:hAnsi="仿宋" w:eastAsia="仿宋" w:cs="Times New Roman"/>
              </w:rPr>
            </w:pPr>
          </w:p>
        </w:tc>
        <w:tc>
          <w:tcPr>
            <w:tcW w:w="1677" w:type="dxa"/>
            <w:vAlign w:val="center"/>
          </w:tcPr>
          <w:p w14:paraId="255624C1">
            <w:pPr>
              <w:pStyle w:val="50"/>
              <w:spacing w:line="360" w:lineRule="auto"/>
              <w:rPr>
                <w:rFonts w:ascii="仿宋" w:hAnsi="仿宋" w:eastAsia="仿宋" w:cs="Times New Roman"/>
              </w:rPr>
            </w:pPr>
          </w:p>
        </w:tc>
        <w:tc>
          <w:tcPr>
            <w:tcW w:w="1590" w:type="dxa"/>
            <w:vAlign w:val="center"/>
          </w:tcPr>
          <w:p w14:paraId="203CE356">
            <w:pPr>
              <w:pStyle w:val="50"/>
              <w:spacing w:line="360" w:lineRule="auto"/>
              <w:rPr>
                <w:rFonts w:ascii="仿宋" w:hAnsi="仿宋" w:eastAsia="仿宋" w:cs="Times New Roman"/>
              </w:rPr>
            </w:pPr>
          </w:p>
        </w:tc>
        <w:tc>
          <w:tcPr>
            <w:tcW w:w="855" w:type="dxa"/>
            <w:vAlign w:val="center"/>
          </w:tcPr>
          <w:p w14:paraId="63A673E5">
            <w:pPr>
              <w:pStyle w:val="50"/>
              <w:spacing w:line="360" w:lineRule="auto"/>
              <w:rPr>
                <w:rFonts w:ascii="仿宋" w:hAnsi="仿宋" w:eastAsia="仿宋" w:cs="Times New Roman"/>
              </w:rPr>
            </w:pPr>
          </w:p>
        </w:tc>
      </w:tr>
      <w:tr w14:paraId="1F88F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03B1A64">
            <w:pPr>
              <w:pStyle w:val="50"/>
              <w:spacing w:line="360" w:lineRule="auto"/>
              <w:rPr>
                <w:rFonts w:ascii="仿宋" w:hAnsi="仿宋" w:eastAsia="仿宋" w:cs="Times New Roman"/>
              </w:rPr>
            </w:pPr>
          </w:p>
        </w:tc>
        <w:tc>
          <w:tcPr>
            <w:tcW w:w="1542" w:type="dxa"/>
            <w:vAlign w:val="center"/>
          </w:tcPr>
          <w:p w14:paraId="78CEF291">
            <w:pPr>
              <w:pStyle w:val="50"/>
              <w:spacing w:line="360" w:lineRule="auto"/>
              <w:rPr>
                <w:rFonts w:ascii="仿宋" w:hAnsi="仿宋" w:eastAsia="仿宋" w:cs="Times New Roman"/>
              </w:rPr>
            </w:pPr>
          </w:p>
        </w:tc>
        <w:tc>
          <w:tcPr>
            <w:tcW w:w="1467" w:type="dxa"/>
            <w:vAlign w:val="center"/>
          </w:tcPr>
          <w:p w14:paraId="46777B7B">
            <w:pPr>
              <w:pStyle w:val="50"/>
              <w:spacing w:line="360" w:lineRule="auto"/>
              <w:rPr>
                <w:rFonts w:ascii="仿宋" w:hAnsi="仿宋" w:eastAsia="仿宋" w:cs="Times New Roman"/>
              </w:rPr>
            </w:pPr>
          </w:p>
        </w:tc>
        <w:tc>
          <w:tcPr>
            <w:tcW w:w="1711" w:type="dxa"/>
            <w:vAlign w:val="center"/>
          </w:tcPr>
          <w:p w14:paraId="267CE2DE">
            <w:pPr>
              <w:pStyle w:val="50"/>
              <w:spacing w:line="360" w:lineRule="auto"/>
              <w:rPr>
                <w:rFonts w:ascii="仿宋" w:hAnsi="仿宋" w:eastAsia="仿宋" w:cs="Times New Roman"/>
              </w:rPr>
            </w:pPr>
          </w:p>
        </w:tc>
        <w:tc>
          <w:tcPr>
            <w:tcW w:w="1677" w:type="dxa"/>
            <w:vAlign w:val="center"/>
          </w:tcPr>
          <w:p w14:paraId="14B39F1A">
            <w:pPr>
              <w:pStyle w:val="50"/>
              <w:spacing w:line="360" w:lineRule="auto"/>
              <w:rPr>
                <w:rFonts w:ascii="仿宋" w:hAnsi="仿宋" w:eastAsia="仿宋" w:cs="Times New Roman"/>
              </w:rPr>
            </w:pPr>
          </w:p>
        </w:tc>
        <w:tc>
          <w:tcPr>
            <w:tcW w:w="1590" w:type="dxa"/>
            <w:vAlign w:val="center"/>
          </w:tcPr>
          <w:p w14:paraId="74939D0C">
            <w:pPr>
              <w:pStyle w:val="50"/>
              <w:spacing w:line="360" w:lineRule="auto"/>
              <w:rPr>
                <w:rFonts w:ascii="仿宋" w:hAnsi="仿宋" w:eastAsia="仿宋" w:cs="Times New Roman"/>
              </w:rPr>
            </w:pPr>
          </w:p>
        </w:tc>
        <w:tc>
          <w:tcPr>
            <w:tcW w:w="855" w:type="dxa"/>
            <w:vAlign w:val="center"/>
          </w:tcPr>
          <w:p w14:paraId="31E1AB4D">
            <w:pPr>
              <w:pStyle w:val="50"/>
              <w:spacing w:line="360" w:lineRule="auto"/>
              <w:rPr>
                <w:rFonts w:ascii="仿宋" w:hAnsi="仿宋" w:eastAsia="仿宋" w:cs="Times New Roman"/>
              </w:rPr>
            </w:pPr>
          </w:p>
        </w:tc>
      </w:tr>
      <w:tr w14:paraId="4B965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05F1BA58">
            <w:pPr>
              <w:pStyle w:val="50"/>
              <w:spacing w:line="360" w:lineRule="auto"/>
              <w:rPr>
                <w:rFonts w:ascii="仿宋" w:hAnsi="仿宋" w:eastAsia="仿宋" w:cs="Times New Roman"/>
              </w:rPr>
            </w:pPr>
          </w:p>
        </w:tc>
        <w:tc>
          <w:tcPr>
            <w:tcW w:w="1542" w:type="dxa"/>
            <w:vAlign w:val="center"/>
          </w:tcPr>
          <w:p w14:paraId="66BAE956">
            <w:pPr>
              <w:pStyle w:val="50"/>
              <w:spacing w:line="360" w:lineRule="auto"/>
              <w:rPr>
                <w:rFonts w:ascii="仿宋" w:hAnsi="仿宋" w:eastAsia="仿宋" w:cs="Times New Roman"/>
              </w:rPr>
            </w:pPr>
          </w:p>
        </w:tc>
        <w:tc>
          <w:tcPr>
            <w:tcW w:w="1467" w:type="dxa"/>
            <w:vAlign w:val="center"/>
          </w:tcPr>
          <w:p w14:paraId="3D8632F6">
            <w:pPr>
              <w:pStyle w:val="50"/>
              <w:spacing w:line="360" w:lineRule="auto"/>
              <w:rPr>
                <w:rFonts w:ascii="仿宋" w:hAnsi="仿宋" w:eastAsia="仿宋" w:cs="Times New Roman"/>
              </w:rPr>
            </w:pPr>
          </w:p>
        </w:tc>
        <w:tc>
          <w:tcPr>
            <w:tcW w:w="1711" w:type="dxa"/>
            <w:vAlign w:val="center"/>
          </w:tcPr>
          <w:p w14:paraId="5E8F1D47">
            <w:pPr>
              <w:pStyle w:val="50"/>
              <w:spacing w:line="360" w:lineRule="auto"/>
              <w:rPr>
                <w:rFonts w:ascii="仿宋" w:hAnsi="仿宋" w:eastAsia="仿宋" w:cs="Times New Roman"/>
              </w:rPr>
            </w:pPr>
          </w:p>
        </w:tc>
        <w:tc>
          <w:tcPr>
            <w:tcW w:w="1677" w:type="dxa"/>
            <w:vAlign w:val="center"/>
          </w:tcPr>
          <w:p w14:paraId="40309072">
            <w:pPr>
              <w:pStyle w:val="50"/>
              <w:spacing w:line="360" w:lineRule="auto"/>
              <w:rPr>
                <w:rFonts w:ascii="仿宋" w:hAnsi="仿宋" w:eastAsia="仿宋" w:cs="Times New Roman"/>
              </w:rPr>
            </w:pPr>
          </w:p>
        </w:tc>
        <w:tc>
          <w:tcPr>
            <w:tcW w:w="1590" w:type="dxa"/>
            <w:vAlign w:val="center"/>
          </w:tcPr>
          <w:p w14:paraId="1CA662E3">
            <w:pPr>
              <w:pStyle w:val="50"/>
              <w:spacing w:line="360" w:lineRule="auto"/>
              <w:rPr>
                <w:rFonts w:ascii="仿宋" w:hAnsi="仿宋" w:eastAsia="仿宋" w:cs="Times New Roman"/>
              </w:rPr>
            </w:pPr>
          </w:p>
        </w:tc>
        <w:tc>
          <w:tcPr>
            <w:tcW w:w="855" w:type="dxa"/>
            <w:vAlign w:val="center"/>
          </w:tcPr>
          <w:p w14:paraId="6ABFD73E">
            <w:pPr>
              <w:pStyle w:val="50"/>
              <w:spacing w:line="360" w:lineRule="auto"/>
              <w:rPr>
                <w:rFonts w:ascii="仿宋" w:hAnsi="仿宋" w:eastAsia="仿宋" w:cs="Times New Roman"/>
              </w:rPr>
            </w:pPr>
          </w:p>
        </w:tc>
      </w:tr>
      <w:tr w14:paraId="59E4B0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DCE83BF">
            <w:pPr>
              <w:pStyle w:val="50"/>
              <w:spacing w:line="360" w:lineRule="auto"/>
              <w:rPr>
                <w:rFonts w:ascii="仿宋" w:hAnsi="仿宋" w:eastAsia="仿宋" w:cs="Times New Roman"/>
              </w:rPr>
            </w:pPr>
          </w:p>
        </w:tc>
        <w:tc>
          <w:tcPr>
            <w:tcW w:w="1542" w:type="dxa"/>
            <w:vAlign w:val="center"/>
          </w:tcPr>
          <w:p w14:paraId="09F99F7E">
            <w:pPr>
              <w:pStyle w:val="50"/>
              <w:spacing w:line="360" w:lineRule="auto"/>
              <w:rPr>
                <w:rFonts w:ascii="仿宋" w:hAnsi="仿宋" w:eastAsia="仿宋" w:cs="Times New Roman"/>
              </w:rPr>
            </w:pPr>
          </w:p>
        </w:tc>
        <w:tc>
          <w:tcPr>
            <w:tcW w:w="1467" w:type="dxa"/>
            <w:vAlign w:val="center"/>
          </w:tcPr>
          <w:p w14:paraId="0FF2FF7C">
            <w:pPr>
              <w:pStyle w:val="50"/>
              <w:spacing w:line="360" w:lineRule="auto"/>
              <w:rPr>
                <w:rFonts w:ascii="仿宋" w:hAnsi="仿宋" w:eastAsia="仿宋" w:cs="Times New Roman"/>
              </w:rPr>
            </w:pPr>
          </w:p>
        </w:tc>
        <w:tc>
          <w:tcPr>
            <w:tcW w:w="1711" w:type="dxa"/>
            <w:vAlign w:val="center"/>
          </w:tcPr>
          <w:p w14:paraId="1039117E">
            <w:pPr>
              <w:pStyle w:val="50"/>
              <w:spacing w:line="360" w:lineRule="auto"/>
              <w:rPr>
                <w:rFonts w:ascii="仿宋" w:hAnsi="仿宋" w:eastAsia="仿宋" w:cs="Times New Roman"/>
              </w:rPr>
            </w:pPr>
          </w:p>
        </w:tc>
        <w:tc>
          <w:tcPr>
            <w:tcW w:w="1677" w:type="dxa"/>
            <w:vAlign w:val="center"/>
          </w:tcPr>
          <w:p w14:paraId="6D4A6100">
            <w:pPr>
              <w:pStyle w:val="50"/>
              <w:spacing w:line="360" w:lineRule="auto"/>
              <w:rPr>
                <w:rFonts w:ascii="仿宋" w:hAnsi="仿宋" w:eastAsia="仿宋" w:cs="Times New Roman"/>
              </w:rPr>
            </w:pPr>
          </w:p>
        </w:tc>
        <w:tc>
          <w:tcPr>
            <w:tcW w:w="1590" w:type="dxa"/>
            <w:vAlign w:val="center"/>
          </w:tcPr>
          <w:p w14:paraId="29E071A0">
            <w:pPr>
              <w:pStyle w:val="50"/>
              <w:spacing w:line="360" w:lineRule="auto"/>
              <w:rPr>
                <w:rFonts w:ascii="仿宋" w:hAnsi="仿宋" w:eastAsia="仿宋" w:cs="Times New Roman"/>
              </w:rPr>
            </w:pPr>
          </w:p>
        </w:tc>
        <w:tc>
          <w:tcPr>
            <w:tcW w:w="855" w:type="dxa"/>
            <w:vAlign w:val="center"/>
          </w:tcPr>
          <w:p w14:paraId="4706E1CE">
            <w:pPr>
              <w:pStyle w:val="50"/>
              <w:spacing w:line="360" w:lineRule="auto"/>
              <w:rPr>
                <w:rFonts w:ascii="仿宋" w:hAnsi="仿宋" w:eastAsia="仿宋" w:cs="Times New Roman"/>
              </w:rPr>
            </w:pPr>
          </w:p>
        </w:tc>
      </w:tr>
      <w:tr w14:paraId="1D750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596189F6">
            <w:pPr>
              <w:pStyle w:val="50"/>
              <w:spacing w:line="360" w:lineRule="auto"/>
              <w:rPr>
                <w:rFonts w:ascii="仿宋" w:hAnsi="仿宋" w:eastAsia="仿宋" w:cs="Times New Roman"/>
              </w:rPr>
            </w:pPr>
          </w:p>
        </w:tc>
        <w:tc>
          <w:tcPr>
            <w:tcW w:w="1542" w:type="dxa"/>
            <w:vAlign w:val="center"/>
          </w:tcPr>
          <w:p w14:paraId="44077627">
            <w:pPr>
              <w:pStyle w:val="50"/>
              <w:spacing w:line="360" w:lineRule="auto"/>
              <w:rPr>
                <w:rFonts w:ascii="仿宋" w:hAnsi="仿宋" w:eastAsia="仿宋" w:cs="Times New Roman"/>
              </w:rPr>
            </w:pPr>
          </w:p>
        </w:tc>
        <w:tc>
          <w:tcPr>
            <w:tcW w:w="1467" w:type="dxa"/>
            <w:vAlign w:val="center"/>
          </w:tcPr>
          <w:p w14:paraId="5AEDE5D9">
            <w:pPr>
              <w:pStyle w:val="50"/>
              <w:spacing w:line="360" w:lineRule="auto"/>
              <w:rPr>
                <w:rFonts w:ascii="仿宋" w:hAnsi="仿宋" w:eastAsia="仿宋" w:cs="Times New Roman"/>
              </w:rPr>
            </w:pPr>
          </w:p>
        </w:tc>
        <w:tc>
          <w:tcPr>
            <w:tcW w:w="1711" w:type="dxa"/>
            <w:vAlign w:val="center"/>
          </w:tcPr>
          <w:p w14:paraId="747E2912">
            <w:pPr>
              <w:pStyle w:val="50"/>
              <w:spacing w:line="360" w:lineRule="auto"/>
              <w:rPr>
                <w:rFonts w:ascii="仿宋" w:hAnsi="仿宋" w:eastAsia="仿宋" w:cs="Times New Roman"/>
              </w:rPr>
            </w:pPr>
          </w:p>
        </w:tc>
        <w:tc>
          <w:tcPr>
            <w:tcW w:w="1677" w:type="dxa"/>
            <w:vAlign w:val="center"/>
          </w:tcPr>
          <w:p w14:paraId="7B53AC48">
            <w:pPr>
              <w:pStyle w:val="50"/>
              <w:spacing w:line="360" w:lineRule="auto"/>
              <w:rPr>
                <w:rFonts w:ascii="仿宋" w:hAnsi="仿宋" w:eastAsia="仿宋" w:cs="Times New Roman"/>
              </w:rPr>
            </w:pPr>
          </w:p>
        </w:tc>
        <w:tc>
          <w:tcPr>
            <w:tcW w:w="1590" w:type="dxa"/>
            <w:vAlign w:val="center"/>
          </w:tcPr>
          <w:p w14:paraId="6C4406F1">
            <w:pPr>
              <w:pStyle w:val="50"/>
              <w:spacing w:line="360" w:lineRule="auto"/>
              <w:rPr>
                <w:rFonts w:ascii="仿宋" w:hAnsi="仿宋" w:eastAsia="仿宋" w:cs="Times New Roman"/>
              </w:rPr>
            </w:pPr>
          </w:p>
        </w:tc>
        <w:tc>
          <w:tcPr>
            <w:tcW w:w="855" w:type="dxa"/>
            <w:vAlign w:val="center"/>
          </w:tcPr>
          <w:p w14:paraId="63B5A759">
            <w:pPr>
              <w:pStyle w:val="50"/>
              <w:spacing w:line="360" w:lineRule="auto"/>
              <w:rPr>
                <w:rFonts w:ascii="仿宋" w:hAnsi="仿宋" w:eastAsia="仿宋" w:cs="Times New Roman"/>
              </w:rPr>
            </w:pPr>
          </w:p>
        </w:tc>
      </w:tr>
    </w:tbl>
    <w:p w14:paraId="1563D343"/>
    <w:p w14:paraId="36FD623C">
      <w:pPr>
        <w:spacing w:line="360" w:lineRule="auto"/>
        <w:ind w:left="993" w:right="283" w:hanging="709"/>
        <w:rPr>
          <w:rFonts w:ascii="宋体" w:hAnsi="宋体"/>
          <w:sz w:val="28"/>
          <w:szCs w:val="28"/>
        </w:rPr>
      </w:pPr>
      <w:r>
        <w:rPr>
          <w:rFonts w:ascii="宋体" w:hAnsi="宋体"/>
          <w:sz w:val="28"/>
          <w:szCs w:val="28"/>
        </w:rPr>
        <w:t>注：1.供应商须按照采购项目</w:t>
      </w:r>
      <w:r>
        <w:rPr>
          <w:rFonts w:hint="eastAsia" w:ascii="宋体" w:hAnsi="宋体"/>
          <w:sz w:val="28"/>
          <w:szCs w:val="28"/>
        </w:rPr>
        <w:t>服务内容及服务</w:t>
      </w:r>
      <w:r>
        <w:rPr>
          <w:rFonts w:ascii="宋体" w:hAnsi="宋体"/>
          <w:sz w:val="28"/>
          <w:szCs w:val="28"/>
        </w:rPr>
        <w:t>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14:paraId="504EC63C">
      <w:pPr>
        <w:pStyle w:val="39"/>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14:paraId="5AD8F2A1">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w:t>
      </w:r>
      <w:r>
        <w:rPr>
          <w:rFonts w:hint="eastAsia" w:ascii="宋体" w:hAnsi="宋体"/>
          <w:spacing w:val="3"/>
          <w:sz w:val="28"/>
          <w:szCs w:val="28"/>
        </w:rPr>
        <w:t>证明材料</w:t>
      </w:r>
      <w:r>
        <w:rPr>
          <w:rFonts w:ascii="宋体" w:hAnsi="宋体"/>
          <w:spacing w:val="3"/>
          <w:sz w:val="28"/>
          <w:szCs w:val="28"/>
        </w:rPr>
        <w:t>在</w:t>
      </w:r>
      <w:r>
        <w:rPr>
          <w:rFonts w:hint="eastAsia" w:ascii="宋体" w:hAnsi="宋体"/>
          <w:spacing w:val="3"/>
          <w:sz w:val="28"/>
          <w:szCs w:val="28"/>
        </w:rPr>
        <w:t>比选申请</w:t>
      </w:r>
      <w:r>
        <w:rPr>
          <w:rFonts w:ascii="宋体" w:hAnsi="宋体"/>
          <w:spacing w:val="3"/>
          <w:sz w:val="28"/>
          <w:szCs w:val="28"/>
        </w:rPr>
        <w:t>文件中的页码。</w:t>
      </w:r>
    </w:p>
    <w:p w14:paraId="09F0C09A">
      <w:pPr>
        <w:spacing w:line="360" w:lineRule="auto"/>
        <w:rPr>
          <w:rFonts w:ascii="Times New Roman" w:hAnsi="Times New Roman" w:eastAsia="仿宋"/>
          <w:color w:val="000000" w:themeColor="text1"/>
          <w:sz w:val="32"/>
          <w:szCs w:val="32"/>
          <w14:textFill>
            <w14:solidFill>
              <w14:schemeClr w14:val="tx1"/>
            </w14:solidFill>
          </w14:textFill>
        </w:rPr>
      </w:pPr>
    </w:p>
    <w:p w14:paraId="3CFF512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14:paraId="6BB8878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335A2A6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0F83D94D">
      <w:r>
        <w:rPr>
          <w:rFonts w:hint="eastAsia"/>
        </w:rPr>
        <w:br w:type="page"/>
      </w:r>
    </w:p>
    <w:p w14:paraId="49AF632E">
      <w:pPr>
        <w:pStyle w:val="4"/>
      </w:pPr>
      <w:bookmarkStart w:id="62" w:name="_Toc9117"/>
      <w:r>
        <w:rPr>
          <w:rFonts w:hint="eastAsia"/>
        </w:rPr>
        <w:t>十、商务应答表</w:t>
      </w:r>
      <w:bookmarkEnd w:id="62"/>
    </w:p>
    <w:p w14:paraId="6367A1CF">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3AFA5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53BDC76D">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14:paraId="018A32C4">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14:paraId="6BC44B10">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14:paraId="7ACF50BC">
            <w:pPr>
              <w:pStyle w:val="50"/>
              <w:spacing w:before="102" w:line="360" w:lineRule="auto"/>
              <w:ind w:left="112" w:right="105"/>
              <w:jc w:val="center"/>
              <w:rPr>
                <w:rFonts w:cs="Times New Roman"/>
                <w:b/>
                <w:sz w:val="24"/>
                <w:szCs w:val="24"/>
              </w:rPr>
            </w:pPr>
            <w:r>
              <w:rPr>
                <w:rFonts w:cs="Times New Roman"/>
                <w:b/>
                <w:sz w:val="24"/>
                <w:szCs w:val="24"/>
              </w:rPr>
              <w:t>偏离情况</w:t>
            </w:r>
          </w:p>
          <w:p w14:paraId="1E2775A9">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14:paraId="59E78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314ED8B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6F44B7E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4F5A6EA5">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387C4168">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3AD6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251322B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238719D2">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62D6C6F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69E58BFE">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5D90F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DAC3E05">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29F04F0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2924C33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E90214C">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2D05E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BD80E8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7CCFB3E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23840B5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C82C80B">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14:paraId="0BD7D011">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14:paraId="4D670114">
      <w:pPr>
        <w:spacing w:line="360" w:lineRule="auto"/>
        <w:rPr>
          <w:rFonts w:ascii="宋体" w:hAnsi="宋体"/>
          <w:color w:val="000000" w:themeColor="text1"/>
          <w:sz w:val="28"/>
          <w:szCs w:val="28"/>
          <w14:textFill>
            <w14:solidFill>
              <w14:schemeClr w14:val="tx1"/>
            </w14:solidFill>
          </w14:textFill>
        </w:rPr>
      </w:pPr>
    </w:p>
    <w:p w14:paraId="7915FA02">
      <w:pPr>
        <w:spacing w:line="360" w:lineRule="auto"/>
        <w:rPr>
          <w:rFonts w:ascii="宋体" w:hAnsi="宋体"/>
          <w:color w:val="000000" w:themeColor="text1"/>
          <w:sz w:val="28"/>
          <w:szCs w:val="28"/>
          <w14:textFill>
            <w14:solidFill>
              <w14:schemeClr w14:val="tx1"/>
            </w14:solidFill>
          </w14:textFill>
        </w:rPr>
      </w:pPr>
    </w:p>
    <w:p w14:paraId="6AFBB17B">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24E050D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FB9B0B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7D52AC1">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14:paraId="2441082B">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2023E138">
      <w:pPr>
        <w:pStyle w:val="4"/>
      </w:pPr>
      <w:bookmarkStart w:id="63" w:name="_Toc16993"/>
      <w:r>
        <w:rPr>
          <w:rFonts w:hint="eastAsia"/>
        </w:rPr>
        <w:t>十一、比选申请人项目业绩一览表</w:t>
      </w:r>
      <w:bookmarkEnd w:id="63"/>
    </w:p>
    <w:p w14:paraId="2E53C149">
      <w:pPr>
        <w:rPr>
          <w:rFonts w:ascii="Times New Roman" w:hAnsi="Times New Roman" w:eastAsia="仿宋"/>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2C1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39EC1896">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14:paraId="4B6D6CF0">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14:paraId="400817AF">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14:paraId="12C68464">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14:paraId="21CCDF28">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14:paraId="7DC106F4">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14:paraId="47F65A96">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14:paraId="4C97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C37131C">
            <w:pPr>
              <w:spacing w:line="400" w:lineRule="exact"/>
              <w:jc w:val="center"/>
              <w:rPr>
                <w:rFonts w:ascii="宋体" w:hAnsi="宋体"/>
                <w:color w:val="000000" w:themeColor="text1"/>
                <w:sz w:val="24"/>
                <w14:textFill>
                  <w14:solidFill>
                    <w14:schemeClr w14:val="tx1"/>
                  </w14:solidFill>
                </w14:textFill>
              </w:rPr>
            </w:pPr>
          </w:p>
        </w:tc>
        <w:tc>
          <w:tcPr>
            <w:tcW w:w="1570" w:type="dxa"/>
          </w:tcPr>
          <w:p w14:paraId="28568E7B">
            <w:pPr>
              <w:spacing w:line="400" w:lineRule="exact"/>
              <w:jc w:val="center"/>
              <w:rPr>
                <w:rFonts w:ascii="宋体" w:hAnsi="宋体"/>
                <w:color w:val="000000" w:themeColor="text1"/>
                <w:sz w:val="24"/>
                <w14:textFill>
                  <w14:solidFill>
                    <w14:schemeClr w14:val="tx1"/>
                  </w14:solidFill>
                </w14:textFill>
              </w:rPr>
            </w:pPr>
          </w:p>
        </w:tc>
        <w:tc>
          <w:tcPr>
            <w:tcW w:w="2074" w:type="dxa"/>
          </w:tcPr>
          <w:p w14:paraId="0795F005">
            <w:pPr>
              <w:spacing w:line="400" w:lineRule="exact"/>
              <w:jc w:val="center"/>
              <w:rPr>
                <w:rFonts w:ascii="宋体" w:hAnsi="宋体"/>
                <w:color w:val="000000" w:themeColor="text1"/>
                <w:sz w:val="24"/>
                <w14:textFill>
                  <w14:solidFill>
                    <w14:schemeClr w14:val="tx1"/>
                  </w14:solidFill>
                </w14:textFill>
              </w:rPr>
            </w:pPr>
          </w:p>
        </w:tc>
        <w:tc>
          <w:tcPr>
            <w:tcW w:w="1824" w:type="dxa"/>
          </w:tcPr>
          <w:p w14:paraId="6B1394CD">
            <w:pPr>
              <w:spacing w:line="400" w:lineRule="exact"/>
              <w:jc w:val="center"/>
              <w:rPr>
                <w:rFonts w:ascii="宋体" w:hAnsi="宋体"/>
                <w:color w:val="000000" w:themeColor="text1"/>
                <w:sz w:val="24"/>
                <w14:textFill>
                  <w14:solidFill>
                    <w14:schemeClr w14:val="tx1"/>
                  </w14:solidFill>
                </w14:textFill>
              </w:rPr>
            </w:pPr>
          </w:p>
        </w:tc>
        <w:tc>
          <w:tcPr>
            <w:tcW w:w="1500" w:type="dxa"/>
          </w:tcPr>
          <w:p w14:paraId="0570FD26">
            <w:pPr>
              <w:spacing w:line="400" w:lineRule="exact"/>
              <w:jc w:val="center"/>
              <w:rPr>
                <w:rFonts w:ascii="宋体" w:hAnsi="宋体"/>
                <w:color w:val="000000" w:themeColor="text1"/>
                <w:sz w:val="24"/>
                <w14:textFill>
                  <w14:solidFill>
                    <w14:schemeClr w14:val="tx1"/>
                  </w14:solidFill>
                </w14:textFill>
              </w:rPr>
            </w:pPr>
          </w:p>
        </w:tc>
        <w:tc>
          <w:tcPr>
            <w:tcW w:w="837" w:type="dxa"/>
          </w:tcPr>
          <w:p w14:paraId="33DE7E8C">
            <w:pPr>
              <w:spacing w:line="400" w:lineRule="exact"/>
              <w:jc w:val="center"/>
              <w:rPr>
                <w:rFonts w:ascii="宋体" w:hAnsi="宋体"/>
                <w:color w:val="000000" w:themeColor="text1"/>
                <w:sz w:val="24"/>
                <w14:textFill>
                  <w14:solidFill>
                    <w14:schemeClr w14:val="tx1"/>
                  </w14:solidFill>
                </w14:textFill>
              </w:rPr>
            </w:pPr>
          </w:p>
        </w:tc>
      </w:tr>
      <w:tr w14:paraId="3582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14F20552">
            <w:pPr>
              <w:spacing w:line="400" w:lineRule="exact"/>
              <w:jc w:val="center"/>
              <w:rPr>
                <w:rFonts w:ascii="宋体" w:hAnsi="宋体"/>
                <w:color w:val="000000" w:themeColor="text1"/>
                <w:sz w:val="24"/>
                <w14:textFill>
                  <w14:solidFill>
                    <w14:schemeClr w14:val="tx1"/>
                  </w14:solidFill>
                </w14:textFill>
              </w:rPr>
            </w:pPr>
          </w:p>
        </w:tc>
        <w:tc>
          <w:tcPr>
            <w:tcW w:w="1570" w:type="dxa"/>
          </w:tcPr>
          <w:p w14:paraId="32332A08">
            <w:pPr>
              <w:spacing w:line="400" w:lineRule="exact"/>
              <w:jc w:val="center"/>
              <w:rPr>
                <w:rFonts w:ascii="宋体" w:hAnsi="宋体"/>
                <w:color w:val="000000" w:themeColor="text1"/>
                <w:sz w:val="24"/>
                <w14:textFill>
                  <w14:solidFill>
                    <w14:schemeClr w14:val="tx1"/>
                  </w14:solidFill>
                </w14:textFill>
              </w:rPr>
            </w:pPr>
          </w:p>
        </w:tc>
        <w:tc>
          <w:tcPr>
            <w:tcW w:w="2074" w:type="dxa"/>
          </w:tcPr>
          <w:p w14:paraId="1F5ADFC1">
            <w:pPr>
              <w:jc w:val="center"/>
              <w:rPr>
                <w:rFonts w:ascii="宋体" w:hAnsi="宋体"/>
                <w:color w:val="000000" w:themeColor="text1"/>
                <w:sz w:val="24"/>
                <w14:textFill>
                  <w14:solidFill>
                    <w14:schemeClr w14:val="tx1"/>
                  </w14:solidFill>
                </w14:textFill>
              </w:rPr>
            </w:pPr>
          </w:p>
        </w:tc>
        <w:tc>
          <w:tcPr>
            <w:tcW w:w="1824" w:type="dxa"/>
          </w:tcPr>
          <w:p w14:paraId="0E4E4545">
            <w:pPr>
              <w:spacing w:line="400" w:lineRule="exact"/>
              <w:jc w:val="center"/>
              <w:rPr>
                <w:rFonts w:ascii="宋体" w:hAnsi="宋体"/>
                <w:color w:val="000000" w:themeColor="text1"/>
                <w:sz w:val="24"/>
                <w14:textFill>
                  <w14:solidFill>
                    <w14:schemeClr w14:val="tx1"/>
                  </w14:solidFill>
                </w14:textFill>
              </w:rPr>
            </w:pPr>
          </w:p>
        </w:tc>
        <w:tc>
          <w:tcPr>
            <w:tcW w:w="1500" w:type="dxa"/>
          </w:tcPr>
          <w:p w14:paraId="009D4D9A">
            <w:pPr>
              <w:spacing w:line="400" w:lineRule="exact"/>
              <w:jc w:val="center"/>
              <w:rPr>
                <w:rFonts w:ascii="宋体" w:hAnsi="宋体"/>
                <w:color w:val="000000" w:themeColor="text1"/>
                <w:sz w:val="24"/>
                <w14:textFill>
                  <w14:solidFill>
                    <w14:schemeClr w14:val="tx1"/>
                  </w14:solidFill>
                </w14:textFill>
              </w:rPr>
            </w:pPr>
          </w:p>
        </w:tc>
        <w:tc>
          <w:tcPr>
            <w:tcW w:w="837" w:type="dxa"/>
          </w:tcPr>
          <w:p w14:paraId="322B076E">
            <w:pPr>
              <w:spacing w:line="400" w:lineRule="exact"/>
              <w:jc w:val="center"/>
              <w:rPr>
                <w:rFonts w:ascii="宋体" w:hAnsi="宋体"/>
                <w:color w:val="000000" w:themeColor="text1"/>
                <w:sz w:val="24"/>
                <w14:textFill>
                  <w14:solidFill>
                    <w14:schemeClr w14:val="tx1"/>
                  </w14:solidFill>
                </w14:textFill>
              </w:rPr>
            </w:pPr>
          </w:p>
        </w:tc>
      </w:tr>
      <w:tr w14:paraId="181DB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B4C1F2A">
            <w:pPr>
              <w:spacing w:line="400" w:lineRule="exact"/>
              <w:jc w:val="center"/>
              <w:rPr>
                <w:rFonts w:ascii="宋体" w:hAnsi="宋体"/>
                <w:color w:val="000000" w:themeColor="text1"/>
                <w:sz w:val="24"/>
                <w14:textFill>
                  <w14:solidFill>
                    <w14:schemeClr w14:val="tx1"/>
                  </w14:solidFill>
                </w14:textFill>
              </w:rPr>
            </w:pPr>
          </w:p>
        </w:tc>
        <w:tc>
          <w:tcPr>
            <w:tcW w:w="1570" w:type="dxa"/>
          </w:tcPr>
          <w:p w14:paraId="45B187DC">
            <w:pPr>
              <w:spacing w:line="400" w:lineRule="exact"/>
              <w:jc w:val="center"/>
              <w:rPr>
                <w:rFonts w:ascii="宋体" w:hAnsi="宋体"/>
                <w:color w:val="000000" w:themeColor="text1"/>
                <w:sz w:val="24"/>
                <w14:textFill>
                  <w14:solidFill>
                    <w14:schemeClr w14:val="tx1"/>
                  </w14:solidFill>
                </w14:textFill>
              </w:rPr>
            </w:pPr>
          </w:p>
        </w:tc>
        <w:tc>
          <w:tcPr>
            <w:tcW w:w="2074" w:type="dxa"/>
          </w:tcPr>
          <w:p w14:paraId="15FDB21F">
            <w:pPr>
              <w:jc w:val="center"/>
              <w:rPr>
                <w:rFonts w:ascii="宋体" w:hAnsi="宋体"/>
                <w:color w:val="000000" w:themeColor="text1"/>
                <w:sz w:val="24"/>
                <w14:textFill>
                  <w14:solidFill>
                    <w14:schemeClr w14:val="tx1"/>
                  </w14:solidFill>
                </w14:textFill>
              </w:rPr>
            </w:pPr>
          </w:p>
        </w:tc>
        <w:tc>
          <w:tcPr>
            <w:tcW w:w="1824" w:type="dxa"/>
          </w:tcPr>
          <w:p w14:paraId="0F2DB6F6">
            <w:pPr>
              <w:spacing w:line="400" w:lineRule="exact"/>
              <w:jc w:val="center"/>
              <w:rPr>
                <w:rFonts w:ascii="宋体" w:hAnsi="宋体"/>
                <w:color w:val="000000" w:themeColor="text1"/>
                <w:sz w:val="24"/>
                <w14:textFill>
                  <w14:solidFill>
                    <w14:schemeClr w14:val="tx1"/>
                  </w14:solidFill>
                </w14:textFill>
              </w:rPr>
            </w:pPr>
          </w:p>
        </w:tc>
        <w:tc>
          <w:tcPr>
            <w:tcW w:w="1500" w:type="dxa"/>
          </w:tcPr>
          <w:p w14:paraId="3F12AC69">
            <w:pPr>
              <w:spacing w:line="400" w:lineRule="exact"/>
              <w:jc w:val="center"/>
              <w:rPr>
                <w:rFonts w:ascii="宋体" w:hAnsi="宋体"/>
                <w:color w:val="000000" w:themeColor="text1"/>
                <w:sz w:val="24"/>
                <w14:textFill>
                  <w14:solidFill>
                    <w14:schemeClr w14:val="tx1"/>
                  </w14:solidFill>
                </w14:textFill>
              </w:rPr>
            </w:pPr>
          </w:p>
        </w:tc>
        <w:tc>
          <w:tcPr>
            <w:tcW w:w="837" w:type="dxa"/>
          </w:tcPr>
          <w:p w14:paraId="3E750D65">
            <w:pPr>
              <w:spacing w:line="400" w:lineRule="exact"/>
              <w:jc w:val="center"/>
              <w:rPr>
                <w:rFonts w:ascii="宋体" w:hAnsi="宋体"/>
                <w:color w:val="000000" w:themeColor="text1"/>
                <w:sz w:val="24"/>
                <w14:textFill>
                  <w14:solidFill>
                    <w14:schemeClr w14:val="tx1"/>
                  </w14:solidFill>
                </w14:textFill>
              </w:rPr>
            </w:pPr>
          </w:p>
        </w:tc>
      </w:tr>
      <w:tr w14:paraId="3948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D79F6">
            <w:pPr>
              <w:spacing w:line="400" w:lineRule="exact"/>
              <w:jc w:val="center"/>
              <w:rPr>
                <w:rFonts w:ascii="宋体" w:hAnsi="宋体"/>
                <w:color w:val="000000" w:themeColor="text1"/>
                <w:sz w:val="24"/>
                <w14:textFill>
                  <w14:solidFill>
                    <w14:schemeClr w14:val="tx1"/>
                  </w14:solidFill>
                </w14:textFill>
              </w:rPr>
            </w:pPr>
          </w:p>
        </w:tc>
        <w:tc>
          <w:tcPr>
            <w:tcW w:w="1570" w:type="dxa"/>
          </w:tcPr>
          <w:p w14:paraId="224F1AB9">
            <w:pPr>
              <w:spacing w:line="400" w:lineRule="exact"/>
              <w:jc w:val="center"/>
              <w:rPr>
                <w:rFonts w:ascii="宋体" w:hAnsi="宋体"/>
                <w:color w:val="000000" w:themeColor="text1"/>
                <w:sz w:val="24"/>
                <w14:textFill>
                  <w14:solidFill>
                    <w14:schemeClr w14:val="tx1"/>
                  </w14:solidFill>
                </w14:textFill>
              </w:rPr>
            </w:pPr>
          </w:p>
        </w:tc>
        <w:tc>
          <w:tcPr>
            <w:tcW w:w="2074" w:type="dxa"/>
          </w:tcPr>
          <w:p w14:paraId="4A4C3A58">
            <w:pPr>
              <w:jc w:val="center"/>
              <w:rPr>
                <w:rFonts w:ascii="宋体" w:hAnsi="宋体"/>
                <w:color w:val="000000" w:themeColor="text1"/>
                <w:sz w:val="24"/>
                <w14:textFill>
                  <w14:solidFill>
                    <w14:schemeClr w14:val="tx1"/>
                  </w14:solidFill>
                </w14:textFill>
              </w:rPr>
            </w:pPr>
          </w:p>
        </w:tc>
        <w:tc>
          <w:tcPr>
            <w:tcW w:w="1824" w:type="dxa"/>
          </w:tcPr>
          <w:p w14:paraId="1111F45E">
            <w:pPr>
              <w:spacing w:line="400" w:lineRule="exact"/>
              <w:jc w:val="center"/>
              <w:rPr>
                <w:rFonts w:ascii="宋体" w:hAnsi="宋体"/>
                <w:color w:val="000000" w:themeColor="text1"/>
                <w:sz w:val="24"/>
                <w14:textFill>
                  <w14:solidFill>
                    <w14:schemeClr w14:val="tx1"/>
                  </w14:solidFill>
                </w14:textFill>
              </w:rPr>
            </w:pPr>
          </w:p>
        </w:tc>
        <w:tc>
          <w:tcPr>
            <w:tcW w:w="1500" w:type="dxa"/>
          </w:tcPr>
          <w:p w14:paraId="339F5BFE">
            <w:pPr>
              <w:spacing w:line="400" w:lineRule="exact"/>
              <w:jc w:val="center"/>
              <w:rPr>
                <w:rFonts w:ascii="宋体" w:hAnsi="宋体"/>
                <w:color w:val="000000" w:themeColor="text1"/>
                <w:sz w:val="24"/>
                <w14:textFill>
                  <w14:solidFill>
                    <w14:schemeClr w14:val="tx1"/>
                  </w14:solidFill>
                </w14:textFill>
              </w:rPr>
            </w:pPr>
          </w:p>
        </w:tc>
        <w:tc>
          <w:tcPr>
            <w:tcW w:w="837" w:type="dxa"/>
          </w:tcPr>
          <w:p w14:paraId="3007A8BD">
            <w:pPr>
              <w:spacing w:line="400" w:lineRule="exact"/>
              <w:jc w:val="center"/>
              <w:rPr>
                <w:rFonts w:ascii="宋体" w:hAnsi="宋体"/>
                <w:color w:val="000000" w:themeColor="text1"/>
                <w:sz w:val="24"/>
                <w14:textFill>
                  <w14:solidFill>
                    <w14:schemeClr w14:val="tx1"/>
                  </w14:solidFill>
                </w14:textFill>
              </w:rPr>
            </w:pPr>
          </w:p>
        </w:tc>
      </w:tr>
      <w:tr w14:paraId="6097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6FDA9B6E">
            <w:pPr>
              <w:spacing w:line="400" w:lineRule="exact"/>
              <w:jc w:val="center"/>
              <w:rPr>
                <w:rFonts w:ascii="宋体" w:hAnsi="宋体"/>
                <w:color w:val="000000" w:themeColor="text1"/>
                <w:sz w:val="24"/>
                <w14:textFill>
                  <w14:solidFill>
                    <w14:schemeClr w14:val="tx1"/>
                  </w14:solidFill>
                </w14:textFill>
              </w:rPr>
            </w:pPr>
          </w:p>
        </w:tc>
        <w:tc>
          <w:tcPr>
            <w:tcW w:w="1570" w:type="dxa"/>
          </w:tcPr>
          <w:p w14:paraId="765F3D83">
            <w:pPr>
              <w:spacing w:line="400" w:lineRule="exact"/>
              <w:jc w:val="center"/>
              <w:rPr>
                <w:rFonts w:ascii="宋体" w:hAnsi="宋体"/>
                <w:color w:val="000000" w:themeColor="text1"/>
                <w:sz w:val="24"/>
                <w14:textFill>
                  <w14:solidFill>
                    <w14:schemeClr w14:val="tx1"/>
                  </w14:solidFill>
                </w14:textFill>
              </w:rPr>
            </w:pPr>
          </w:p>
        </w:tc>
        <w:tc>
          <w:tcPr>
            <w:tcW w:w="2074" w:type="dxa"/>
          </w:tcPr>
          <w:p w14:paraId="11CC3BA4">
            <w:pPr>
              <w:jc w:val="center"/>
              <w:rPr>
                <w:rFonts w:ascii="宋体" w:hAnsi="宋体"/>
                <w:color w:val="000000" w:themeColor="text1"/>
                <w:sz w:val="24"/>
                <w14:textFill>
                  <w14:solidFill>
                    <w14:schemeClr w14:val="tx1"/>
                  </w14:solidFill>
                </w14:textFill>
              </w:rPr>
            </w:pPr>
          </w:p>
        </w:tc>
        <w:tc>
          <w:tcPr>
            <w:tcW w:w="1824" w:type="dxa"/>
          </w:tcPr>
          <w:p w14:paraId="2971F6EB">
            <w:pPr>
              <w:spacing w:line="400" w:lineRule="exact"/>
              <w:jc w:val="center"/>
              <w:rPr>
                <w:rFonts w:ascii="宋体" w:hAnsi="宋体"/>
                <w:color w:val="000000" w:themeColor="text1"/>
                <w:sz w:val="24"/>
                <w14:textFill>
                  <w14:solidFill>
                    <w14:schemeClr w14:val="tx1"/>
                  </w14:solidFill>
                </w14:textFill>
              </w:rPr>
            </w:pPr>
          </w:p>
        </w:tc>
        <w:tc>
          <w:tcPr>
            <w:tcW w:w="1500" w:type="dxa"/>
          </w:tcPr>
          <w:p w14:paraId="6A349111">
            <w:pPr>
              <w:spacing w:line="400" w:lineRule="exact"/>
              <w:jc w:val="center"/>
              <w:rPr>
                <w:rFonts w:ascii="宋体" w:hAnsi="宋体"/>
                <w:color w:val="000000" w:themeColor="text1"/>
                <w:sz w:val="24"/>
                <w14:textFill>
                  <w14:solidFill>
                    <w14:schemeClr w14:val="tx1"/>
                  </w14:solidFill>
                </w14:textFill>
              </w:rPr>
            </w:pPr>
          </w:p>
        </w:tc>
        <w:tc>
          <w:tcPr>
            <w:tcW w:w="837" w:type="dxa"/>
          </w:tcPr>
          <w:p w14:paraId="7521BD73">
            <w:pPr>
              <w:spacing w:line="400" w:lineRule="exact"/>
              <w:jc w:val="center"/>
              <w:rPr>
                <w:rFonts w:ascii="宋体" w:hAnsi="宋体"/>
                <w:color w:val="000000" w:themeColor="text1"/>
                <w:sz w:val="24"/>
                <w14:textFill>
                  <w14:solidFill>
                    <w14:schemeClr w14:val="tx1"/>
                  </w14:solidFill>
                </w14:textFill>
              </w:rPr>
            </w:pPr>
          </w:p>
        </w:tc>
      </w:tr>
      <w:tr w14:paraId="171DD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7D189279">
            <w:pPr>
              <w:spacing w:line="400" w:lineRule="exact"/>
              <w:jc w:val="center"/>
              <w:rPr>
                <w:rFonts w:ascii="宋体" w:hAnsi="宋体"/>
                <w:color w:val="000000" w:themeColor="text1"/>
                <w:sz w:val="24"/>
                <w14:textFill>
                  <w14:solidFill>
                    <w14:schemeClr w14:val="tx1"/>
                  </w14:solidFill>
                </w14:textFill>
              </w:rPr>
            </w:pPr>
          </w:p>
        </w:tc>
        <w:tc>
          <w:tcPr>
            <w:tcW w:w="1570" w:type="dxa"/>
          </w:tcPr>
          <w:p w14:paraId="68580C34">
            <w:pPr>
              <w:spacing w:line="400" w:lineRule="exact"/>
              <w:jc w:val="center"/>
              <w:rPr>
                <w:rFonts w:ascii="宋体" w:hAnsi="宋体"/>
                <w:color w:val="000000" w:themeColor="text1"/>
                <w:sz w:val="24"/>
                <w14:textFill>
                  <w14:solidFill>
                    <w14:schemeClr w14:val="tx1"/>
                  </w14:solidFill>
                </w14:textFill>
              </w:rPr>
            </w:pPr>
          </w:p>
        </w:tc>
        <w:tc>
          <w:tcPr>
            <w:tcW w:w="2074" w:type="dxa"/>
          </w:tcPr>
          <w:p w14:paraId="0CCCD18C">
            <w:pPr>
              <w:spacing w:line="400" w:lineRule="exact"/>
              <w:jc w:val="center"/>
              <w:rPr>
                <w:rFonts w:ascii="宋体" w:hAnsi="宋体"/>
                <w:color w:val="000000" w:themeColor="text1"/>
                <w:sz w:val="24"/>
                <w14:textFill>
                  <w14:solidFill>
                    <w14:schemeClr w14:val="tx1"/>
                  </w14:solidFill>
                </w14:textFill>
              </w:rPr>
            </w:pPr>
          </w:p>
        </w:tc>
        <w:tc>
          <w:tcPr>
            <w:tcW w:w="1824" w:type="dxa"/>
          </w:tcPr>
          <w:p w14:paraId="77B2C674">
            <w:pPr>
              <w:spacing w:line="400" w:lineRule="exact"/>
              <w:jc w:val="center"/>
              <w:rPr>
                <w:rFonts w:ascii="宋体" w:hAnsi="宋体"/>
                <w:color w:val="000000" w:themeColor="text1"/>
                <w:sz w:val="24"/>
                <w14:textFill>
                  <w14:solidFill>
                    <w14:schemeClr w14:val="tx1"/>
                  </w14:solidFill>
                </w14:textFill>
              </w:rPr>
            </w:pPr>
          </w:p>
        </w:tc>
        <w:tc>
          <w:tcPr>
            <w:tcW w:w="1500" w:type="dxa"/>
          </w:tcPr>
          <w:p w14:paraId="22E302A8">
            <w:pPr>
              <w:spacing w:line="400" w:lineRule="exact"/>
              <w:jc w:val="center"/>
              <w:rPr>
                <w:rFonts w:ascii="宋体" w:hAnsi="宋体"/>
                <w:color w:val="000000" w:themeColor="text1"/>
                <w:sz w:val="24"/>
                <w14:textFill>
                  <w14:solidFill>
                    <w14:schemeClr w14:val="tx1"/>
                  </w14:solidFill>
                </w14:textFill>
              </w:rPr>
            </w:pPr>
          </w:p>
        </w:tc>
        <w:tc>
          <w:tcPr>
            <w:tcW w:w="837" w:type="dxa"/>
          </w:tcPr>
          <w:p w14:paraId="6149284B">
            <w:pPr>
              <w:spacing w:line="400" w:lineRule="exact"/>
              <w:jc w:val="center"/>
              <w:rPr>
                <w:rFonts w:ascii="宋体" w:hAnsi="宋体"/>
                <w:color w:val="000000" w:themeColor="text1"/>
                <w:sz w:val="24"/>
                <w14:textFill>
                  <w14:solidFill>
                    <w14:schemeClr w14:val="tx1"/>
                  </w14:solidFill>
                </w14:textFill>
              </w:rPr>
            </w:pPr>
          </w:p>
        </w:tc>
      </w:tr>
    </w:tbl>
    <w:p w14:paraId="47B4D2F7">
      <w:pPr>
        <w:jc w:val="center"/>
        <w:rPr>
          <w:rFonts w:ascii="Times New Roman" w:hAnsi="Times New Roman"/>
          <w:color w:val="000000" w:themeColor="text1"/>
          <w14:textFill>
            <w14:solidFill>
              <w14:schemeClr w14:val="tx1"/>
            </w14:solidFill>
          </w14:textFill>
        </w:rPr>
      </w:pPr>
    </w:p>
    <w:p w14:paraId="0CBC4841">
      <w:pPr>
        <w:spacing w:line="360" w:lineRule="auto"/>
        <w:jc w:val="lef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注:佐证资料附后</w:t>
      </w:r>
    </w:p>
    <w:p w14:paraId="52B5D1B8">
      <w:pPr>
        <w:spacing w:line="360" w:lineRule="auto"/>
        <w:jc w:val="center"/>
        <w:rPr>
          <w:rFonts w:ascii="Times New Roman" w:hAnsi="Times New Roman"/>
          <w:b/>
          <w:bCs/>
          <w:color w:val="000000" w:themeColor="text1"/>
          <w:sz w:val="36"/>
          <w14:textFill>
            <w14:solidFill>
              <w14:schemeClr w14:val="tx1"/>
            </w14:solidFill>
          </w14:textFill>
        </w:rPr>
      </w:pPr>
    </w:p>
    <w:p w14:paraId="596A816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72E9C8E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376C49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5AE392BB">
      <w:pPr>
        <w:rPr>
          <w:rFonts w:ascii="宋体" w:hAnsi="宋体"/>
          <w:b/>
          <w:bCs/>
          <w:color w:val="000000" w:themeColor="text1"/>
          <w:sz w:val="28"/>
          <w:szCs w:val="28"/>
          <w14:textFill>
            <w14:solidFill>
              <w14:schemeClr w14:val="tx1"/>
            </w14:solidFill>
          </w14:textFill>
        </w:rPr>
      </w:pPr>
    </w:p>
    <w:p w14:paraId="27B35209">
      <w:pPr>
        <w:widowControl/>
        <w:jc w:val="left"/>
        <w:rPr>
          <w:rFonts w:ascii="Times New Roman" w:hAnsi="Times New Roman"/>
        </w:rPr>
      </w:pPr>
      <w:r>
        <w:br w:type="page"/>
      </w:r>
    </w:p>
    <w:p w14:paraId="438EBBFF">
      <w:pPr>
        <w:pStyle w:val="9"/>
      </w:pPr>
    </w:p>
    <w:p w14:paraId="0C5CF385">
      <w:pPr>
        <w:pStyle w:val="4"/>
      </w:pPr>
      <w:bookmarkStart w:id="64" w:name="_Toc22310"/>
      <w:r>
        <w:rPr>
          <w:rFonts w:hint="eastAsia"/>
        </w:rPr>
        <w:t>十二、项目方案</w:t>
      </w:r>
      <w:bookmarkEnd w:id="64"/>
    </w:p>
    <w:p w14:paraId="35F59371">
      <w:pPr>
        <w:spacing w:line="360" w:lineRule="auto"/>
        <w:jc w:val="center"/>
        <w:rPr>
          <w:rFonts w:ascii="宋体" w:hAnsi="宋体"/>
          <w:b/>
          <w:bCs/>
          <w:color w:val="000000" w:themeColor="text1"/>
          <w:sz w:val="28"/>
          <w:szCs w:val="28"/>
          <w14:textFill>
            <w14:solidFill>
              <w14:schemeClr w14:val="tx1"/>
            </w14:solidFill>
          </w14:textFill>
        </w:rPr>
      </w:pPr>
    </w:p>
    <w:p w14:paraId="0B4EA4BC">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14:paraId="2B81FA0A">
      <w:pPr>
        <w:pStyle w:val="7"/>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263FD">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7D5E32A0">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- 23 -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7D5E32A0">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- 23 -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C234A">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81B09D9">
                          <w:pPr>
                            <w:pStyle w:val="1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PAGE</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- 28 -</w:t>
                          </w:r>
                          <w:r>
                            <w:rPr>
                              <w:rFonts w:hint="eastAsia" w:asciiTheme="minorEastAsia" w:hAnsiTheme="minorEastAsia" w:eastAsiaTheme="minorEastAsia" w:cstheme="minorEastAsia"/>
                              <w:b/>
                              <w:sz w:val="24"/>
                              <w:szCs w:val="24"/>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081B09D9">
                    <w:pPr>
                      <w:pStyle w:val="17"/>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fldChar w:fldCharType="begin"/>
                    </w:r>
                    <w:r>
                      <w:rPr>
                        <w:rFonts w:hint="eastAsia" w:asciiTheme="minorEastAsia" w:hAnsiTheme="minorEastAsia" w:eastAsiaTheme="minorEastAsia" w:cstheme="minorEastAsia"/>
                        <w:b/>
                        <w:sz w:val="24"/>
                        <w:szCs w:val="24"/>
                      </w:rPr>
                      <w:instrText xml:space="preserve">PAGE</w:instrText>
                    </w:r>
                    <w:r>
                      <w:rPr>
                        <w:rFonts w:hint="eastAsia" w:asciiTheme="minorEastAsia" w:hAnsiTheme="minorEastAsia" w:eastAsiaTheme="minorEastAsia" w:cstheme="minorEastAsia"/>
                        <w:b/>
                        <w:sz w:val="24"/>
                        <w:szCs w:val="24"/>
                      </w:rPr>
                      <w:fldChar w:fldCharType="separate"/>
                    </w:r>
                    <w:r>
                      <w:rPr>
                        <w:rFonts w:hint="eastAsia" w:asciiTheme="minorEastAsia" w:hAnsiTheme="minorEastAsia" w:eastAsiaTheme="minorEastAsia" w:cstheme="minorEastAsia"/>
                        <w:b/>
                        <w:sz w:val="24"/>
                        <w:szCs w:val="24"/>
                      </w:rPr>
                      <w:t>- 28 -</w:t>
                    </w:r>
                    <w:r>
                      <w:rPr>
                        <w:rFonts w:hint="eastAsia" w:asciiTheme="minorEastAsia" w:hAnsiTheme="minorEastAsia" w:eastAsiaTheme="minorEastAsia" w:cstheme="minorEastAsia"/>
                        <w:b/>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5BADB">
    <w:pPr>
      <w:pStyle w:val="17"/>
    </w:pPr>
  </w:p>
  <w:p w14:paraId="18D836AD">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60E1605E">
                          <w:pPr>
                            <w:pStyle w:val="17"/>
                            <w:jc w:val="center"/>
                          </w:pPr>
                          <w:r>
                            <w:rPr>
                              <w:b/>
                              <w:sz w:val="24"/>
                            </w:rPr>
                            <w:fldChar w:fldCharType="begin"/>
                          </w:r>
                          <w:r>
                            <w:rPr>
                              <w:b/>
                            </w:rPr>
                            <w:instrText xml:space="preserve">PAGE</w:instrText>
                          </w:r>
                          <w:r>
                            <w:rPr>
                              <w:b/>
                              <w:sz w:val="24"/>
                            </w:rPr>
                            <w:fldChar w:fldCharType="separate"/>
                          </w:r>
                          <w:r>
                            <w:rPr>
                              <w:b/>
                            </w:rPr>
                            <w:t>- 41 -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60E1605E">
                    <w:pPr>
                      <w:pStyle w:val="17"/>
                      <w:jc w:val="center"/>
                    </w:pPr>
                    <w:r>
                      <w:rPr>
                        <w:b/>
                        <w:sz w:val="24"/>
                      </w:rPr>
                      <w:fldChar w:fldCharType="begin"/>
                    </w:r>
                    <w:r>
                      <w:rPr>
                        <w:b/>
                      </w:rPr>
                      <w:instrText xml:space="preserve">PAGE</w:instrText>
                    </w:r>
                    <w:r>
                      <w:rPr>
                        <w:b/>
                        <w:sz w:val="24"/>
                      </w:rPr>
                      <w:fldChar w:fldCharType="separate"/>
                    </w:r>
                    <w:r>
                      <w:rPr>
                        <w:b/>
                      </w:rPr>
                      <w:t>- 41 -</w:t>
                    </w:r>
                    <w:r>
                      <w:rPr>
                        <w:b/>
                        <w:sz w:val="24"/>
                      </w:rPr>
                      <w:fldChar w:fldCharType="end"/>
                    </w:r>
                  </w:p>
                </w:txbxContent>
              </v:textbox>
            </v:shape>
          </w:pict>
        </mc:Fallback>
      </mc:AlternateContent>
    </w:r>
  </w:p>
  <w:p w14:paraId="26259F9E">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804A5"/>
    <w:multiLevelType w:val="singleLevel"/>
    <w:tmpl w:val="18A804A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4OGQwMWI4ZWY4NDNiODNjMTNhMjIwYWJkMmEwMWQ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2F9E"/>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317"/>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400E4"/>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4A1E"/>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5347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29C58B6"/>
    <w:rsid w:val="02D3778F"/>
    <w:rsid w:val="033B2FA9"/>
    <w:rsid w:val="033B6E7D"/>
    <w:rsid w:val="03B15391"/>
    <w:rsid w:val="03E272F9"/>
    <w:rsid w:val="041A6F2B"/>
    <w:rsid w:val="04674597"/>
    <w:rsid w:val="04912ACD"/>
    <w:rsid w:val="04B0389B"/>
    <w:rsid w:val="054B5371"/>
    <w:rsid w:val="05565D5F"/>
    <w:rsid w:val="066A6FE3"/>
    <w:rsid w:val="06B20ED9"/>
    <w:rsid w:val="077E53E9"/>
    <w:rsid w:val="077F1302"/>
    <w:rsid w:val="078132F0"/>
    <w:rsid w:val="07946674"/>
    <w:rsid w:val="07FB307F"/>
    <w:rsid w:val="080D4B60"/>
    <w:rsid w:val="081B102B"/>
    <w:rsid w:val="08406CE4"/>
    <w:rsid w:val="09192E71"/>
    <w:rsid w:val="09D122E9"/>
    <w:rsid w:val="0A9D21CB"/>
    <w:rsid w:val="0AC02F04"/>
    <w:rsid w:val="0B8E57A5"/>
    <w:rsid w:val="0BAC2D7E"/>
    <w:rsid w:val="0C3139E1"/>
    <w:rsid w:val="0CC24DCB"/>
    <w:rsid w:val="0D7274AB"/>
    <w:rsid w:val="0DF90060"/>
    <w:rsid w:val="0E721BC1"/>
    <w:rsid w:val="0E781994"/>
    <w:rsid w:val="0E8518F4"/>
    <w:rsid w:val="0E9C7797"/>
    <w:rsid w:val="0EE52F38"/>
    <w:rsid w:val="0F693DF5"/>
    <w:rsid w:val="0F9524E3"/>
    <w:rsid w:val="0FCB1589"/>
    <w:rsid w:val="1045758D"/>
    <w:rsid w:val="10463305"/>
    <w:rsid w:val="106808AE"/>
    <w:rsid w:val="10D2543E"/>
    <w:rsid w:val="10E03F78"/>
    <w:rsid w:val="1148051E"/>
    <w:rsid w:val="11891AE7"/>
    <w:rsid w:val="11934328"/>
    <w:rsid w:val="11EB1461"/>
    <w:rsid w:val="120E5917"/>
    <w:rsid w:val="130A4366"/>
    <w:rsid w:val="13314FCE"/>
    <w:rsid w:val="13533D6F"/>
    <w:rsid w:val="13857CA0"/>
    <w:rsid w:val="13CB5FFB"/>
    <w:rsid w:val="13E2424A"/>
    <w:rsid w:val="16116963"/>
    <w:rsid w:val="163374DE"/>
    <w:rsid w:val="163D4862"/>
    <w:rsid w:val="17321EED"/>
    <w:rsid w:val="1739327C"/>
    <w:rsid w:val="179130B8"/>
    <w:rsid w:val="17B31E8D"/>
    <w:rsid w:val="194C5023"/>
    <w:rsid w:val="19BE5CBA"/>
    <w:rsid w:val="1A950107"/>
    <w:rsid w:val="1A9F5AEC"/>
    <w:rsid w:val="1AA90718"/>
    <w:rsid w:val="1AE43477"/>
    <w:rsid w:val="1B10465A"/>
    <w:rsid w:val="1B562BF8"/>
    <w:rsid w:val="1BEF7DEC"/>
    <w:rsid w:val="1C08246D"/>
    <w:rsid w:val="1C362480"/>
    <w:rsid w:val="1CD87093"/>
    <w:rsid w:val="1D3D339A"/>
    <w:rsid w:val="1D84052E"/>
    <w:rsid w:val="1D993179"/>
    <w:rsid w:val="1D9A7F22"/>
    <w:rsid w:val="1DA90A2F"/>
    <w:rsid w:val="1DE76E33"/>
    <w:rsid w:val="1E2834BA"/>
    <w:rsid w:val="1E6100B4"/>
    <w:rsid w:val="1EBC3110"/>
    <w:rsid w:val="1F0431B5"/>
    <w:rsid w:val="1F4B4A6C"/>
    <w:rsid w:val="20366416"/>
    <w:rsid w:val="213357CA"/>
    <w:rsid w:val="219537A4"/>
    <w:rsid w:val="21AB746C"/>
    <w:rsid w:val="2255795E"/>
    <w:rsid w:val="22631529"/>
    <w:rsid w:val="229C0B63"/>
    <w:rsid w:val="232C1E94"/>
    <w:rsid w:val="234F0A56"/>
    <w:rsid w:val="23533917"/>
    <w:rsid w:val="237C18CA"/>
    <w:rsid w:val="245D5B02"/>
    <w:rsid w:val="24634353"/>
    <w:rsid w:val="25FE27A5"/>
    <w:rsid w:val="262A4E03"/>
    <w:rsid w:val="2662377F"/>
    <w:rsid w:val="2681079B"/>
    <w:rsid w:val="26CF7B52"/>
    <w:rsid w:val="272730F1"/>
    <w:rsid w:val="27B2761D"/>
    <w:rsid w:val="27F51441"/>
    <w:rsid w:val="2802590C"/>
    <w:rsid w:val="28243107"/>
    <w:rsid w:val="285E1FFC"/>
    <w:rsid w:val="29003BF9"/>
    <w:rsid w:val="291853E7"/>
    <w:rsid w:val="297A08FF"/>
    <w:rsid w:val="298760C9"/>
    <w:rsid w:val="29EE6148"/>
    <w:rsid w:val="2A336250"/>
    <w:rsid w:val="2A401DBF"/>
    <w:rsid w:val="2A6729B3"/>
    <w:rsid w:val="2AD21972"/>
    <w:rsid w:val="2AD6263E"/>
    <w:rsid w:val="2B0379D1"/>
    <w:rsid w:val="2B2706DC"/>
    <w:rsid w:val="2CB44E2A"/>
    <w:rsid w:val="2D383B46"/>
    <w:rsid w:val="2D643F52"/>
    <w:rsid w:val="2D6D31F3"/>
    <w:rsid w:val="2E383E35"/>
    <w:rsid w:val="2EB1301B"/>
    <w:rsid w:val="2ECB2EFB"/>
    <w:rsid w:val="2F261232"/>
    <w:rsid w:val="2F6F3887"/>
    <w:rsid w:val="2FC03CB8"/>
    <w:rsid w:val="306906FB"/>
    <w:rsid w:val="30DD0CC4"/>
    <w:rsid w:val="31580A99"/>
    <w:rsid w:val="31A218AC"/>
    <w:rsid w:val="31A82E22"/>
    <w:rsid w:val="32E92D40"/>
    <w:rsid w:val="330C149E"/>
    <w:rsid w:val="33107636"/>
    <w:rsid w:val="33461566"/>
    <w:rsid w:val="33615BDC"/>
    <w:rsid w:val="33997124"/>
    <w:rsid w:val="349124F1"/>
    <w:rsid w:val="34AC78AD"/>
    <w:rsid w:val="34C22323"/>
    <w:rsid w:val="35926521"/>
    <w:rsid w:val="36341386"/>
    <w:rsid w:val="36C02C1A"/>
    <w:rsid w:val="37113155"/>
    <w:rsid w:val="376676D8"/>
    <w:rsid w:val="383438BF"/>
    <w:rsid w:val="38AE5AF0"/>
    <w:rsid w:val="39221AA1"/>
    <w:rsid w:val="393B0C7E"/>
    <w:rsid w:val="3960611D"/>
    <w:rsid w:val="39AE76A2"/>
    <w:rsid w:val="3A013E94"/>
    <w:rsid w:val="3A402D29"/>
    <w:rsid w:val="3A4678DA"/>
    <w:rsid w:val="3A666A12"/>
    <w:rsid w:val="3AAE11A2"/>
    <w:rsid w:val="3B223EA3"/>
    <w:rsid w:val="3B8254A0"/>
    <w:rsid w:val="3B984165"/>
    <w:rsid w:val="3BA25B9F"/>
    <w:rsid w:val="3C28373B"/>
    <w:rsid w:val="3C2A5D72"/>
    <w:rsid w:val="3C6516C0"/>
    <w:rsid w:val="3C951AAB"/>
    <w:rsid w:val="3CD40675"/>
    <w:rsid w:val="3D333A9E"/>
    <w:rsid w:val="3D483712"/>
    <w:rsid w:val="3D600CB3"/>
    <w:rsid w:val="3DB34515"/>
    <w:rsid w:val="3E4A516B"/>
    <w:rsid w:val="3E745F58"/>
    <w:rsid w:val="3E9C4F8E"/>
    <w:rsid w:val="3EA87F5B"/>
    <w:rsid w:val="3EB3436B"/>
    <w:rsid w:val="3ECB1A67"/>
    <w:rsid w:val="3F3C55B6"/>
    <w:rsid w:val="3F941C5C"/>
    <w:rsid w:val="40130DC7"/>
    <w:rsid w:val="403E2586"/>
    <w:rsid w:val="408829FA"/>
    <w:rsid w:val="4134048C"/>
    <w:rsid w:val="41BB295C"/>
    <w:rsid w:val="423B3A9C"/>
    <w:rsid w:val="42556DB5"/>
    <w:rsid w:val="43366565"/>
    <w:rsid w:val="4377255C"/>
    <w:rsid w:val="43D76DDC"/>
    <w:rsid w:val="43DE2931"/>
    <w:rsid w:val="43E53949"/>
    <w:rsid w:val="44380CC6"/>
    <w:rsid w:val="444A008B"/>
    <w:rsid w:val="446672AC"/>
    <w:rsid w:val="446E63AB"/>
    <w:rsid w:val="451851EA"/>
    <w:rsid w:val="45F83172"/>
    <w:rsid w:val="45F91CA4"/>
    <w:rsid w:val="4739179E"/>
    <w:rsid w:val="478415D1"/>
    <w:rsid w:val="479042B7"/>
    <w:rsid w:val="47CE4DAE"/>
    <w:rsid w:val="47EF335F"/>
    <w:rsid w:val="482254E2"/>
    <w:rsid w:val="487D4DCB"/>
    <w:rsid w:val="493B372B"/>
    <w:rsid w:val="4955399A"/>
    <w:rsid w:val="4A064990"/>
    <w:rsid w:val="4A2358F9"/>
    <w:rsid w:val="4A873D23"/>
    <w:rsid w:val="4BD73B50"/>
    <w:rsid w:val="4BE64A79"/>
    <w:rsid w:val="4C7A7CEB"/>
    <w:rsid w:val="4CF94F81"/>
    <w:rsid w:val="4D714557"/>
    <w:rsid w:val="4DEF230B"/>
    <w:rsid w:val="4E26697B"/>
    <w:rsid w:val="4E4D7031"/>
    <w:rsid w:val="4E802D5E"/>
    <w:rsid w:val="4EA330F5"/>
    <w:rsid w:val="4EC76DE4"/>
    <w:rsid w:val="4EDF237F"/>
    <w:rsid w:val="4EF61477"/>
    <w:rsid w:val="4F8868CE"/>
    <w:rsid w:val="4FF94F5E"/>
    <w:rsid w:val="50263663"/>
    <w:rsid w:val="507E096A"/>
    <w:rsid w:val="50847C02"/>
    <w:rsid w:val="512C2F2E"/>
    <w:rsid w:val="51730B5D"/>
    <w:rsid w:val="521A5029"/>
    <w:rsid w:val="526D7CA2"/>
    <w:rsid w:val="532C190B"/>
    <w:rsid w:val="533D1D03"/>
    <w:rsid w:val="535C09BE"/>
    <w:rsid w:val="54BB10C9"/>
    <w:rsid w:val="5503669C"/>
    <w:rsid w:val="558158C5"/>
    <w:rsid w:val="55EE10FA"/>
    <w:rsid w:val="55F87603"/>
    <w:rsid w:val="56D15BC0"/>
    <w:rsid w:val="56D54068"/>
    <w:rsid w:val="57994035"/>
    <w:rsid w:val="57DC49D1"/>
    <w:rsid w:val="57FD73D2"/>
    <w:rsid w:val="580469B3"/>
    <w:rsid w:val="58374DAF"/>
    <w:rsid w:val="58700E82"/>
    <w:rsid w:val="58E467E4"/>
    <w:rsid w:val="59413C0E"/>
    <w:rsid w:val="59875AED"/>
    <w:rsid w:val="59EA068D"/>
    <w:rsid w:val="59FB2037"/>
    <w:rsid w:val="5B274E10"/>
    <w:rsid w:val="5B6D0D13"/>
    <w:rsid w:val="5B8877F7"/>
    <w:rsid w:val="5C2F421A"/>
    <w:rsid w:val="5C8C0871"/>
    <w:rsid w:val="5CA92016"/>
    <w:rsid w:val="5CE648D9"/>
    <w:rsid w:val="5D1222A5"/>
    <w:rsid w:val="5E553B77"/>
    <w:rsid w:val="5E856373"/>
    <w:rsid w:val="5F0B6879"/>
    <w:rsid w:val="5F1C0A86"/>
    <w:rsid w:val="5FED2C98"/>
    <w:rsid w:val="600D654D"/>
    <w:rsid w:val="6065736A"/>
    <w:rsid w:val="607E4B0D"/>
    <w:rsid w:val="60A47158"/>
    <w:rsid w:val="60F5158E"/>
    <w:rsid w:val="61131A15"/>
    <w:rsid w:val="616A1832"/>
    <w:rsid w:val="61BA5B6C"/>
    <w:rsid w:val="61F25ACE"/>
    <w:rsid w:val="626D33A6"/>
    <w:rsid w:val="62B43486"/>
    <w:rsid w:val="6388493C"/>
    <w:rsid w:val="63B374DF"/>
    <w:rsid w:val="649D5592"/>
    <w:rsid w:val="651A7135"/>
    <w:rsid w:val="655D35E0"/>
    <w:rsid w:val="65743A6E"/>
    <w:rsid w:val="65C33051"/>
    <w:rsid w:val="65DE2048"/>
    <w:rsid w:val="66E10831"/>
    <w:rsid w:val="67CB566B"/>
    <w:rsid w:val="67DF6AF4"/>
    <w:rsid w:val="68EF7605"/>
    <w:rsid w:val="696848C8"/>
    <w:rsid w:val="69881806"/>
    <w:rsid w:val="69B1626F"/>
    <w:rsid w:val="69F0323B"/>
    <w:rsid w:val="6A356EA0"/>
    <w:rsid w:val="6A5A63E0"/>
    <w:rsid w:val="6A5C442C"/>
    <w:rsid w:val="6A5D5C59"/>
    <w:rsid w:val="6BE70117"/>
    <w:rsid w:val="6CC17913"/>
    <w:rsid w:val="6D147240"/>
    <w:rsid w:val="6D615622"/>
    <w:rsid w:val="6DCD73EF"/>
    <w:rsid w:val="6E3720C5"/>
    <w:rsid w:val="6F9E2691"/>
    <w:rsid w:val="6FB40867"/>
    <w:rsid w:val="7060454A"/>
    <w:rsid w:val="70866FE2"/>
    <w:rsid w:val="70BD374B"/>
    <w:rsid w:val="70C82145"/>
    <w:rsid w:val="7133364D"/>
    <w:rsid w:val="714670CB"/>
    <w:rsid w:val="7182595A"/>
    <w:rsid w:val="720B77DF"/>
    <w:rsid w:val="72161365"/>
    <w:rsid w:val="724E4FA2"/>
    <w:rsid w:val="727953A0"/>
    <w:rsid w:val="737F4239"/>
    <w:rsid w:val="7438465F"/>
    <w:rsid w:val="74651606"/>
    <w:rsid w:val="75053824"/>
    <w:rsid w:val="75383B7F"/>
    <w:rsid w:val="75FC6AC3"/>
    <w:rsid w:val="76832D41"/>
    <w:rsid w:val="769F5F71"/>
    <w:rsid w:val="77065E4C"/>
    <w:rsid w:val="773C1C0D"/>
    <w:rsid w:val="77A60210"/>
    <w:rsid w:val="78025551"/>
    <w:rsid w:val="78401713"/>
    <w:rsid w:val="789E7CAE"/>
    <w:rsid w:val="78AF2513"/>
    <w:rsid w:val="79335EF0"/>
    <w:rsid w:val="7953020F"/>
    <w:rsid w:val="796706F8"/>
    <w:rsid w:val="79907C4E"/>
    <w:rsid w:val="799A0ACD"/>
    <w:rsid w:val="7A4C0DB1"/>
    <w:rsid w:val="7A5C5881"/>
    <w:rsid w:val="7B9B28DB"/>
    <w:rsid w:val="7B9F23CB"/>
    <w:rsid w:val="7BE02706"/>
    <w:rsid w:val="7CA26617"/>
    <w:rsid w:val="7CEF2EDE"/>
    <w:rsid w:val="7D494CE4"/>
    <w:rsid w:val="7D9526B9"/>
    <w:rsid w:val="7DA907B5"/>
    <w:rsid w:val="7DF76419"/>
    <w:rsid w:val="7E0E7F94"/>
    <w:rsid w:val="7E470AF8"/>
    <w:rsid w:val="7E7A31C9"/>
    <w:rsid w:val="7EBC7738"/>
    <w:rsid w:val="7EEB1C01"/>
    <w:rsid w:val="7EFC18E2"/>
    <w:rsid w:val="7FBE4DEA"/>
    <w:rsid w:val="7FF44F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spacing w:before="140" w:after="140" w:line="360" w:lineRule="auto"/>
      <w:outlineLvl w:val="2"/>
    </w:pPr>
    <w:rPr>
      <w:b/>
      <w:sz w:val="32"/>
    </w:rPr>
  </w:style>
  <w:style w:type="paragraph" w:styleId="6">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rPr>
      <w:rFonts w:ascii="Times New Roman"/>
      <w:sz w:val="20"/>
    </w:rPr>
  </w:style>
  <w:style w:type="paragraph" w:styleId="7">
    <w:name w:val="index 8"/>
    <w:basedOn w:val="1"/>
    <w:next w:val="1"/>
    <w:autoRedefine/>
    <w:unhideWhenUsed/>
    <w:qFormat/>
    <w:uiPriority w:val="99"/>
    <w:pPr>
      <w:spacing w:line="276" w:lineRule="auto"/>
      <w:jc w:val="left"/>
    </w:pPr>
    <w:rPr>
      <w:rFonts w:ascii="宋体" w:hAnsi="宋体"/>
      <w:color w:val="FF0000"/>
      <w:szCs w:val="21"/>
    </w:rPr>
  </w:style>
  <w:style w:type="paragraph" w:styleId="8">
    <w:name w:val="annotation text"/>
    <w:basedOn w:val="1"/>
    <w:link w:val="32"/>
    <w:autoRedefine/>
    <w:qFormat/>
    <w:uiPriority w:val="0"/>
    <w:pPr>
      <w:jc w:val="left"/>
    </w:pPr>
    <w:rPr>
      <w:rFonts w:ascii="Times New Roman" w:hAnsi="Times New Roman"/>
    </w:rPr>
  </w:style>
  <w:style w:type="paragraph" w:styleId="9">
    <w:name w:val="Body Text"/>
    <w:basedOn w:val="1"/>
    <w:next w:val="10"/>
    <w:link w:val="40"/>
    <w:autoRedefine/>
    <w:qFormat/>
    <w:uiPriority w:val="99"/>
    <w:pPr>
      <w:spacing w:after="120"/>
    </w:pPr>
    <w:rPr>
      <w:rFonts w:ascii="Times New Roman" w:hAnsi="Times New Roman"/>
    </w:rPr>
  </w:style>
  <w:style w:type="paragraph" w:styleId="10">
    <w:name w:val="Body Text First Indent"/>
    <w:basedOn w:val="9"/>
    <w:next w:val="11"/>
    <w:autoRedefine/>
    <w:qFormat/>
    <w:uiPriority w:val="0"/>
    <w:pPr>
      <w:ind w:firstLine="420" w:firstLineChars="100"/>
    </w:pPr>
  </w:style>
  <w:style w:type="paragraph" w:customStyle="1" w:styleId="11">
    <w:name w:val="段落正文"/>
    <w:basedOn w:val="1"/>
    <w:autoRedefine/>
    <w:qFormat/>
    <w:uiPriority w:val="0"/>
    <w:pPr>
      <w:spacing w:before="50" w:beforeLines="50" w:line="360" w:lineRule="auto"/>
      <w:ind w:firstLine="200" w:firstLineChars="200"/>
    </w:pPr>
    <w:rPr>
      <w:spacing w:val="2"/>
      <w:sz w:val="24"/>
      <w:szCs w:val="20"/>
    </w:rPr>
  </w:style>
  <w:style w:type="paragraph" w:styleId="12">
    <w:name w:val="Body Text Indent"/>
    <w:basedOn w:val="1"/>
    <w:autoRedefine/>
    <w:qFormat/>
    <w:uiPriority w:val="0"/>
    <w:pPr>
      <w:ind w:firstLine="568" w:firstLineChars="203"/>
    </w:pPr>
    <w:rPr>
      <w:sz w:val="28"/>
    </w:rPr>
  </w:style>
  <w:style w:type="paragraph" w:styleId="13">
    <w:name w:val="toc 3"/>
    <w:basedOn w:val="1"/>
    <w:next w:val="1"/>
    <w:autoRedefine/>
    <w:qFormat/>
    <w:uiPriority w:val="39"/>
    <w:pPr>
      <w:ind w:left="840" w:leftChars="400"/>
    </w:pPr>
  </w:style>
  <w:style w:type="paragraph" w:styleId="14">
    <w:name w:val="Plain Text"/>
    <w:basedOn w:val="1"/>
    <w:link w:val="36"/>
    <w:autoRedefine/>
    <w:qFormat/>
    <w:uiPriority w:val="0"/>
    <w:rPr>
      <w:rFonts w:ascii="宋体" w:hAnsi="Courier New"/>
    </w:rPr>
  </w:style>
  <w:style w:type="paragraph" w:styleId="15">
    <w:name w:val="Body Text Indent 2"/>
    <w:basedOn w:val="1"/>
    <w:link w:val="52"/>
    <w:autoRedefine/>
    <w:semiHidden/>
    <w:unhideWhenUsed/>
    <w:qFormat/>
    <w:uiPriority w:val="0"/>
    <w:pPr>
      <w:spacing w:after="120" w:line="480" w:lineRule="auto"/>
      <w:ind w:left="420" w:leftChars="200"/>
    </w:pPr>
  </w:style>
  <w:style w:type="paragraph" w:styleId="16">
    <w:name w:val="Balloon Text"/>
    <w:basedOn w:val="1"/>
    <w:link w:val="33"/>
    <w:autoRedefine/>
    <w:qFormat/>
    <w:uiPriority w:val="0"/>
    <w:rPr>
      <w:sz w:val="18"/>
      <w:szCs w:val="18"/>
    </w:rPr>
  </w:style>
  <w:style w:type="paragraph" w:styleId="17">
    <w:name w:val="footer"/>
    <w:basedOn w:val="1"/>
    <w:link w:val="30"/>
    <w:autoRedefine/>
    <w:qFormat/>
    <w:uiPriority w:val="99"/>
    <w:pPr>
      <w:tabs>
        <w:tab w:val="center" w:pos="4153"/>
        <w:tab w:val="right" w:pos="8306"/>
      </w:tabs>
      <w:snapToGrid w:val="0"/>
      <w:jc w:val="left"/>
    </w:pPr>
    <w:rPr>
      <w:sz w:val="18"/>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autoRedefine/>
    <w:unhideWhenUsed/>
    <w:qFormat/>
    <w:uiPriority w:val="39"/>
  </w:style>
  <w:style w:type="paragraph" w:styleId="20">
    <w:name w:val="toc 2"/>
    <w:basedOn w:val="1"/>
    <w:next w:val="1"/>
    <w:autoRedefine/>
    <w:semiHidden/>
    <w:unhideWhenUsed/>
    <w:qFormat/>
    <w:uiPriority w:val="0"/>
    <w:pPr>
      <w:ind w:left="420" w:leftChars="200"/>
    </w:pPr>
  </w:style>
  <w:style w:type="paragraph" w:styleId="21">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2">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Char"/>
    <w:link w:val="17"/>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Char"/>
    <w:basedOn w:val="25"/>
    <w:link w:val="8"/>
    <w:autoRedefine/>
    <w:qFormat/>
    <w:uiPriority w:val="0"/>
    <w:rPr>
      <w:rFonts w:ascii="Times New Roman" w:hAnsi="Times New Roman"/>
      <w:kern w:val="2"/>
      <w:sz w:val="21"/>
      <w:szCs w:val="24"/>
    </w:rPr>
  </w:style>
  <w:style w:type="character" w:customStyle="1" w:styleId="33">
    <w:name w:val="批注框文本 Char"/>
    <w:basedOn w:val="25"/>
    <w:link w:val="16"/>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Char"/>
    <w:basedOn w:val="25"/>
    <w:link w:val="3"/>
    <w:autoRedefine/>
    <w:qFormat/>
    <w:uiPriority w:val="0"/>
    <w:rPr>
      <w:b/>
      <w:bCs/>
      <w:kern w:val="44"/>
      <w:sz w:val="44"/>
      <w:szCs w:val="44"/>
    </w:rPr>
  </w:style>
  <w:style w:type="character" w:customStyle="1" w:styleId="36">
    <w:name w:val="纯文本 Char"/>
    <w:basedOn w:val="25"/>
    <w:link w:val="14"/>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Char"/>
    <w:basedOn w:val="25"/>
    <w:link w:val="9"/>
    <w:autoRedefine/>
    <w:qFormat/>
    <w:uiPriority w:val="99"/>
    <w:rPr>
      <w:rFonts w:ascii="Times New Roman" w:hAnsi="Times New Roman"/>
      <w:kern w:val="2"/>
      <w:sz w:val="21"/>
      <w:szCs w:val="24"/>
    </w:rPr>
  </w:style>
  <w:style w:type="character" w:customStyle="1" w:styleId="41">
    <w:name w:val="引用 Char"/>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Char"/>
    <w:basedOn w:val="25"/>
    <w:link w:val="22"/>
    <w:autoRedefine/>
    <w:qFormat/>
    <w:uiPriority w:val="0"/>
    <w:rPr>
      <w:rFonts w:asciiTheme="majorHAnsi" w:hAnsiTheme="majorHAnsi" w:cstheme="majorBidi"/>
      <w:b/>
      <w:bCs/>
      <w:kern w:val="2"/>
      <w:sz w:val="32"/>
      <w:szCs w:val="32"/>
    </w:rPr>
  </w:style>
  <w:style w:type="paragraph" w:customStyle="1" w:styleId="43">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Char"/>
    <w:basedOn w:val="25"/>
    <w:link w:val="4"/>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Char"/>
    <w:basedOn w:val="25"/>
    <w:link w:val="15"/>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qFormat/>
    <w:uiPriority w:val="0"/>
    <w:pPr>
      <w:spacing w:line="360" w:lineRule="auto"/>
      <w:ind w:firstLine="420" w:firstLineChars="200"/>
    </w:pPr>
    <w:rPr>
      <w:rFonts w:ascii="Times New Roman" w:hAnsi="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61C569-C174-45B2-AE0C-F9123A0F8C3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39</Pages>
  <Words>5098</Words>
  <Characters>5216</Characters>
  <Lines>143</Lines>
  <Paragraphs>40</Paragraphs>
  <TotalTime>0</TotalTime>
  <ScaleCrop>false</ScaleCrop>
  <LinksUpToDate>false</LinksUpToDate>
  <CharactersWithSpaces>5375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2024-10-31T01:04:00Z</cp:lastPrinted>
  <dcterms:modified xsi:type="dcterms:W3CDTF">2024-10-31T07:16:13Z</dcterms:modified>
  <cp:revision>290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1B3C052BFBC34708A3184E23C89C11BF_13</vt:lpwstr>
  </property>
</Properties>
</file>