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B63973">
      <w:pPr>
        <w:rPr>
          <w:sz w:val="32"/>
          <w:szCs w:val="32"/>
        </w:rPr>
      </w:pPr>
      <w:bookmarkStart w:id="0" w:name="_Toc17083"/>
      <w:bookmarkStart w:id="1" w:name="_Toc9127"/>
      <w:r>
        <w:rPr>
          <w:sz w:val="32"/>
          <w:szCs w:val="32"/>
        </w:rPr>
        <w:t>附件：</w:t>
      </w:r>
    </w:p>
    <w:p w14:paraId="076C8C35">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p>
    <w:p w14:paraId="7307DD82">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万源市中心医院院内采购</w:t>
      </w:r>
      <w:bookmarkEnd w:id="0"/>
      <w:bookmarkEnd w:id="1"/>
    </w:p>
    <w:p w14:paraId="1D17695B">
      <w:pPr>
        <w:jc w:val="center"/>
        <w:rPr>
          <w:rFonts w:ascii="Times New Roman" w:hAnsi="Times New Roman"/>
          <w:b/>
          <w:bCs/>
          <w:color w:val="000000" w:themeColor="text1"/>
          <w:sz w:val="52"/>
          <w:szCs w:val="52"/>
          <w14:textFill>
            <w14:solidFill>
              <w14:schemeClr w14:val="tx1"/>
            </w14:solidFill>
          </w14:textFill>
        </w:rPr>
      </w:pPr>
    </w:p>
    <w:p w14:paraId="35F8205A">
      <w:pPr>
        <w:jc w:val="center"/>
        <w:rPr>
          <w:rFonts w:ascii="方正小标宋简体" w:hAnsi="方正小标宋简体" w:eastAsia="方正小标宋简体"/>
          <w:sz w:val="84"/>
          <w:szCs w:val="84"/>
        </w:rPr>
      </w:pPr>
      <w:bookmarkStart w:id="2" w:name="_Toc7192"/>
      <w:bookmarkStart w:id="3" w:name="_Toc23231"/>
      <w:r>
        <w:rPr>
          <w:rFonts w:hint="eastAsia" w:ascii="方正小标宋简体" w:hAnsi="方正小标宋简体" w:eastAsia="方正小标宋简体"/>
          <w:sz w:val="84"/>
          <w:szCs w:val="84"/>
        </w:rPr>
        <w:t>比</w:t>
      </w:r>
      <w:bookmarkEnd w:id="2"/>
      <w:bookmarkEnd w:id="3"/>
    </w:p>
    <w:p w14:paraId="50AD0AB1">
      <w:pPr>
        <w:jc w:val="center"/>
        <w:rPr>
          <w:rFonts w:ascii="方正小标宋简体" w:hAnsi="方正小标宋简体" w:eastAsia="方正小标宋简体"/>
          <w:sz w:val="84"/>
          <w:szCs w:val="84"/>
        </w:rPr>
      </w:pPr>
      <w:bookmarkStart w:id="4" w:name="_Toc9290"/>
      <w:bookmarkStart w:id="5" w:name="_Toc23942"/>
      <w:r>
        <w:rPr>
          <w:rFonts w:hint="eastAsia" w:ascii="方正小标宋简体" w:hAnsi="方正小标宋简体" w:eastAsia="方正小标宋简体"/>
          <w:sz w:val="84"/>
          <w:szCs w:val="84"/>
        </w:rPr>
        <w:t>选</w:t>
      </w:r>
      <w:bookmarkEnd w:id="4"/>
      <w:bookmarkEnd w:id="5"/>
    </w:p>
    <w:p w14:paraId="6F72C4D5">
      <w:pPr>
        <w:jc w:val="center"/>
        <w:rPr>
          <w:rFonts w:ascii="方正小标宋简体" w:hAnsi="方正小标宋简体" w:eastAsia="方正小标宋简体"/>
          <w:sz w:val="84"/>
          <w:szCs w:val="84"/>
        </w:rPr>
      </w:pPr>
      <w:bookmarkStart w:id="6" w:name="_Toc9068"/>
      <w:bookmarkStart w:id="7" w:name="_Toc17363"/>
      <w:r>
        <w:rPr>
          <w:rFonts w:hint="eastAsia" w:ascii="方正小标宋简体" w:hAnsi="方正小标宋简体" w:eastAsia="方正小标宋简体"/>
          <w:sz w:val="84"/>
          <w:szCs w:val="84"/>
        </w:rPr>
        <w:t>文</w:t>
      </w:r>
      <w:bookmarkEnd w:id="6"/>
      <w:bookmarkEnd w:id="7"/>
    </w:p>
    <w:p w14:paraId="68BD835B">
      <w:pPr>
        <w:jc w:val="center"/>
        <w:rPr>
          <w:rFonts w:ascii="方正小标宋简体" w:hAnsi="方正小标宋简体" w:eastAsia="方正小标宋简体"/>
          <w:sz w:val="84"/>
          <w:szCs w:val="84"/>
        </w:rPr>
      </w:pPr>
      <w:bookmarkStart w:id="8" w:name="_Toc21464"/>
      <w:bookmarkStart w:id="9" w:name="_Toc7661"/>
      <w:r>
        <w:rPr>
          <w:rFonts w:hint="eastAsia" w:ascii="方正小标宋简体" w:hAnsi="方正小标宋简体" w:eastAsia="方正小标宋简体"/>
          <w:sz w:val="84"/>
          <w:szCs w:val="84"/>
        </w:rPr>
        <w:t>件</w:t>
      </w:r>
      <w:bookmarkEnd w:id="8"/>
      <w:bookmarkEnd w:id="9"/>
    </w:p>
    <w:p w14:paraId="58769947">
      <w:pPr>
        <w:rPr>
          <w:rFonts w:ascii="Times New Roman" w:hAnsi="Times New Roman"/>
          <w:color w:val="000000" w:themeColor="text1"/>
          <w:sz w:val="30"/>
          <w:szCs w:val="30"/>
          <w14:textFill>
            <w14:solidFill>
              <w14:schemeClr w14:val="tx1"/>
            </w14:solidFill>
          </w14:textFill>
        </w:rPr>
      </w:pPr>
    </w:p>
    <w:p w14:paraId="7A3C1CF5">
      <w:pPr>
        <w:ind w:left="1800" w:hanging="1800" w:hangingChars="500"/>
        <w:jc w:val="cente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项目名称：</w:t>
      </w:r>
      <w: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t>党建阵地打造项目</w:t>
      </w:r>
    </w:p>
    <w:p w14:paraId="1AEC5EAB">
      <w:pPr>
        <w:jc w:val="center"/>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0" w:name="_Toc6695"/>
      <w:bookmarkStart w:id="11" w:name="_Toc7669"/>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项目编号：万医采〔202</w:t>
      </w:r>
      <w:r>
        <w:rPr>
          <w:rFonts w:ascii="方正小标宋简体" w:hAnsi="方正小标宋简体" w:eastAsia="方正小标宋简体" w:cs="方正小标宋简体"/>
          <w:bCs/>
          <w:color w:val="000000" w:themeColor="text1"/>
          <w:sz w:val="36"/>
          <w:szCs w:val="36"/>
          <w14:textFill>
            <w14:solidFill>
              <w14:schemeClr w14:val="tx1"/>
            </w14:solidFill>
          </w14:textFill>
        </w:rPr>
        <w:t>4</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w:t>
      </w:r>
      <w:r>
        <w:rPr>
          <w:rFonts w:hint="eastAsia" w:ascii="方正小标宋简体" w:hAnsi="方正小标宋简体" w:eastAsia="方正小标宋简体" w:cs="方正小标宋简体"/>
          <w:bCs/>
          <w:color w:val="000000" w:themeColor="text1"/>
          <w:sz w:val="36"/>
          <w:szCs w:val="36"/>
          <w:u w:val="single"/>
          <w:lang w:val="en-US" w:eastAsia="zh-CN"/>
          <w14:textFill>
            <w14:solidFill>
              <w14:schemeClr w14:val="tx1"/>
            </w14:solidFill>
          </w14:textFill>
        </w:rPr>
        <w:t>31</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号</w:t>
      </w:r>
      <w:bookmarkEnd w:id="10"/>
      <w:bookmarkEnd w:id="11"/>
    </w:p>
    <w:p w14:paraId="049F7206">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14:paraId="3667AD77">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14:paraId="3BE46D28">
      <w:pPr>
        <w:jc w:val="center"/>
        <w:rPr>
          <w:rFonts w:ascii="方正小标宋简体" w:hAnsi="方正小标宋简体" w:eastAsia="方正小标宋简体" w:cs="方正小标宋简体"/>
          <w:bCs/>
          <w:sz w:val="36"/>
          <w:szCs w:val="36"/>
        </w:rPr>
      </w:pPr>
      <w:bookmarkStart w:id="12" w:name="_Toc2442"/>
      <w:bookmarkStart w:id="13" w:name="_Toc26288"/>
      <w:r>
        <w:rPr>
          <w:rFonts w:hint="eastAsia" w:ascii="方正小标宋简体" w:hAnsi="方正小标宋简体" w:eastAsia="方正小标宋简体" w:cs="方正小标宋简体"/>
          <w:bCs/>
          <w:sz w:val="36"/>
          <w:szCs w:val="36"/>
        </w:rPr>
        <w:t>万源市中心医院（比选人）编制</w:t>
      </w:r>
      <w:bookmarkEnd w:id="12"/>
      <w:bookmarkEnd w:id="13"/>
    </w:p>
    <w:p w14:paraId="6251D410">
      <w:pPr>
        <w:jc w:val="center"/>
        <w:rPr>
          <w:rFonts w:ascii="方正小标宋简体" w:hAnsi="方正小标宋简体" w:eastAsia="方正小标宋简体" w:cs="方正小标宋简体"/>
          <w:bCs/>
        </w:rPr>
      </w:pPr>
      <w:r>
        <w:rPr>
          <w:rFonts w:hint="eastAsia" w:ascii="方正小标宋简体" w:hAnsi="方正小标宋简体" w:eastAsia="方正小标宋简体" w:cs="方正小标宋简体"/>
          <w:bCs/>
          <w:sz w:val="36"/>
          <w:szCs w:val="36"/>
        </w:rPr>
        <w:t>202</w:t>
      </w:r>
      <w:r>
        <w:rPr>
          <w:rFonts w:ascii="方正小标宋简体" w:hAnsi="方正小标宋简体" w:eastAsia="方正小标宋简体" w:cs="方正小标宋简体"/>
          <w:bCs/>
          <w:sz w:val="36"/>
          <w:szCs w:val="36"/>
        </w:rPr>
        <w:t>4</w:t>
      </w:r>
      <w:r>
        <w:rPr>
          <w:rFonts w:hint="eastAsia" w:ascii="方正小标宋简体" w:hAnsi="方正小标宋简体" w:eastAsia="方正小标宋简体" w:cs="方正小标宋简体"/>
          <w:bCs/>
          <w:sz w:val="36"/>
          <w:szCs w:val="36"/>
        </w:rPr>
        <w:t>年1</w:t>
      </w:r>
      <w:r>
        <w:rPr>
          <w:rFonts w:hint="eastAsia" w:ascii="方正小标宋简体" w:hAnsi="方正小标宋简体" w:eastAsia="方正小标宋简体" w:cs="方正小标宋简体"/>
          <w:bCs/>
          <w:sz w:val="36"/>
          <w:szCs w:val="36"/>
          <w:lang w:val="en-US" w:eastAsia="zh-CN"/>
        </w:rPr>
        <w:t>1</w:t>
      </w:r>
      <w:r>
        <w:rPr>
          <w:rFonts w:hint="eastAsia" w:ascii="方正小标宋简体" w:hAnsi="方正小标宋简体" w:eastAsia="方正小标宋简体" w:cs="方正小标宋简体"/>
          <w:bCs/>
          <w:sz w:val="36"/>
          <w:szCs w:val="36"/>
        </w:rPr>
        <w:t>月</w:t>
      </w:r>
    </w:p>
    <w:p w14:paraId="3690E454">
      <w:pPr>
        <w:rPr>
          <w:rFonts w:ascii="方正小标宋简体" w:hAnsi="方正小标宋简体" w:eastAsia="方正小标宋简体" w:cs="方正小标宋简体"/>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p>
    <w:sdt>
      <w:sdtPr>
        <w:rPr>
          <w:rFonts w:ascii="宋体" w:hAnsi="宋体"/>
          <w:b/>
          <w:bCs/>
          <w:sz w:val="24"/>
          <w:szCs w:val="32"/>
        </w:rPr>
        <w:id w:val="147453726"/>
        <w15:color w:val="DBDBDB"/>
        <w:docPartObj>
          <w:docPartGallery w:val="Table of Contents"/>
          <w:docPartUnique/>
        </w:docPartObj>
      </w:sdtPr>
      <w:sdtEndPr>
        <w:rPr>
          <w:rFonts w:hint="eastAsia" w:ascii="仿宋" w:hAnsi="仿宋" w:eastAsia="仿宋" w:cs="仿宋"/>
          <w:b/>
          <w:bCs/>
          <w:color w:val="000000" w:themeColor="text1"/>
          <w:sz w:val="32"/>
          <w:szCs w:val="32"/>
          <w14:textFill>
            <w14:solidFill>
              <w14:schemeClr w14:val="tx1"/>
            </w14:solidFill>
          </w14:textFill>
        </w:rPr>
      </w:sdtEndPr>
      <w:sdtContent>
        <w:p w14:paraId="36D5369D">
          <w:pPr>
            <w:jc w:val="center"/>
            <w:rPr>
              <w:rFonts w:hint="eastAsia" w:ascii="仿宋" w:hAnsi="仿宋" w:eastAsia="仿宋" w:cs="仿宋"/>
              <w:b/>
              <w:bCs/>
              <w:sz w:val="36"/>
              <w:szCs w:val="36"/>
            </w:rPr>
          </w:pPr>
          <w:r>
            <w:rPr>
              <w:rFonts w:hint="eastAsia" w:ascii="仿宋" w:hAnsi="仿宋" w:eastAsia="仿宋" w:cs="仿宋"/>
              <w:b/>
              <w:bCs/>
              <w:sz w:val="36"/>
              <w:szCs w:val="36"/>
            </w:rPr>
            <w:t>目  录</w:t>
          </w:r>
        </w:p>
        <w:p w14:paraId="56438C04">
          <w:pPr>
            <w:pStyle w:val="19"/>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TOC \o "1-1" \h \u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_Toc2835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val="0"/>
              <w:sz w:val="28"/>
              <w:szCs w:val="28"/>
            </w:rPr>
            <w:t>第一章 比选邀请书</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_Toc2835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14:paraId="28821839">
          <w:pPr>
            <w:pStyle w:val="19"/>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_Toc14278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val="0"/>
              <w:sz w:val="28"/>
              <w:szCs w:val="28"/>
            </w:rPr>
            <w:t>第二章 比选申请人须知</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_Toc14278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- 4 -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14:paraId="18D88CBA">
          <w:pPr>
            <w:pStyle w:val="19"/>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_Toc19703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val="0"/>
              <w:sz w:val="28"/>
              <w:szCs w:val="28"/>
            </w:rPr>
            <w:t>第三章 评审办法</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_Toc19703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- 8 -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14:paraId="48B96D21">
          <w:pPr>
            <w:pStyle w:val="19"/>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_Toc9400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val="0"/>
              <w:sz w:val="28"/>
              <w:szCs w:val="28"/>
              <w:lang w:val="en-US" w:eastAsia="zh-CN"/>
            </w:rPr>
            <w:t>第四章</w:t>
          </w:r>
          <w:r>
            <w:rPr>
              <w:rFonts w:hint="eastAsia" w:asciiTheme="minorEastAsia" w:hAnsiTheme="minorEastAsia" w:eastAsiaTheme="minorEastAsia" w:cstheme="minorEastAsia"/>
              <w:bCs w:val="0"/>
              <w:sz w:val="28"/>
              <w:szCs w:val="28"/>
            </w:rPr>
            <w:t xml:space="preserve"> 项目技术、服务、商务及其他要求</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_Toc9400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- 19 -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14:paraId="219DAA8A">
          <w:pPr>
            <w:pStyle w:val="19"/>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\l _Toc23522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bCs w:val="0"/>
              <w:sz w:val="28"/>
              <w:szCs w:val="28"/>
              <w:lang w:val="en-US" w:eastAsia="zh-CN"/>
            </w:rPr>
            <w:t>第五章 比选申请文件格式</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_Toc23522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- 26 -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fldChar w:fldCharType="end"/>
          </w:r>
        </w:p>
        <w:p w14:paraId="2BB4A4A7">
          <w:pPr>
            <w:keepNext w:val="0"/>
            <w:keepLines w:val="0"/>
            <w:pageBreakBefore w:val="0"/>
            <w:kinsoku/>
            <w:wordWrap/>
            <w:overflowPunct/>
            <w:topLinePunct w:val="0"/>
            <w:autoSpaceDE/>
            <w:autoSpaceDN/>
            <w:bidi w:val="0"/>
            <w:adjustRightInd/>
            <w:snapToGrid/>
            <w:textAlignment w:val="auto"/>
            <w:rPr>
              <w:rFonts w:ascii="仿宋" w:hAnsi="仿宋" w:eastAsia="仿宋" w:cs="仿宋"/>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sz w:val="28"/>
              <w:szCs w:val="28"/>
            </w:rPr>
            <w:fldChar w:fldCharType="end"/>
          </w:r>
        </w:p>
      </w:sdtContent>
    </w:sdt>
    <w:p w14:paraId="68E017BB">
      <w:pPr>
        <w:pStyle w:val="22"/>
        <w:jc w:val="both"/>
      </w:pPr>
    </w:p>
    <w:p w14:paraId="352895C6">
      <w:pPr>
        <w:tabs>
          <w:tab w:val="center" w:pos="4443"/>
        </w:tabs>
        <w:bidi w:val="0"/>
        <w:jc w:val="left"/>
        <w:rPr>
          <w:rFonts w:hint="eastAsia" w:eastAsia="宋体"/>
          <w:lang w:eastAsia="zh-CN"/>
        </w:rPr>
        <w:sectPr>
          <w:footerReference r:id="rId3" w:type="default"/>
          <w:pgSz w:w="11906" w:h="16838"/>
          <w:pgMar w:top="1270" w:right="1274" w:bottom="1276" w:left="1746" w:header="851" w:footer="822" w:gutter="0"/>
          <w:pgNumType w:fmt="numberInDash" w:start="1"/>
          <w:cols w:space="0" w:num="1"/>
          <w:docGrid w:type="lines" w:linePitch="312" w:charSpace="0"/>
        </w:sectPr>
      </w:pPr>
      <w:r>
        <w:rPr>
          <w:rFonts w:hint="eastAsia"/>
          <w:lang w:eastAsia="zh-CN"/>
        </w:rPr>
        <w:tab/>
      </w:r>
    </w:p>
    <w:p w14:paraId="2865247A">
      <w:pPr>
        <w:pStyle w:val="22"/>
        <w:rPr>
          <w:rFonts w:hint="eastAsia" w:ascii="方正小标宋简体" w:hAnsi="方正小标宋简体" w:eastAsia="方正小标宋简体" w:cs="方正小标宋简体"/>
          <w:b w:val="0"/>
          <w:bCs w:val="0"/>
        </w:rPr>
      </w:pPr>
      <w:bookmarkStart w:id="14" w:name="_Toc19449"/>
      <w:bookmarkStart w:id="15" w:name="_Toc2835"/>
      <w:bookmarkStart w:id="16" w:name="_Toc2221"/>
      <w:r>
        <w:rPr>
          <w:rFonts w:hint="eastAsia" w:ascii="方正小标宋简体" w:hAnsi="方正小标宋简体" w:eastAsia="方正小标宋简体" w:cs="方正小标宋简体"/>
          <w:b w:val="0"/>
          <w:bCs w:val="0"/>
        </w:rPr>
        <w:t>第一章 比选邀请书</w:t>
      </w:r>
      <w:bookmarkEnd w:id="14"/>
      <w:bookmarkEnd w:id="15"/>
      <w:bookmarkEnd w:id="16"/>
    </w:p>
    <w:p w14:paraId="36A6C867">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万源市中心医院根据工作需要，拟通过比选的方式对</w:t>
      </w:r>
      <w:r>
        <w:rPr>
          <w:rFonts w:hint="eastAsia" w:asciiTheme="minorEastAsia" w:hAnsiTheme="minorEastAsia"/>
          <w:color w:val="000000" w:themeColor="text1"/>
          <w:sz w:val="28"/>
          <w:szCs w:val="28"/>
          <w:lang w:eastAsia="zh-CN"/>
          <w14:textFill>
            <w14:solidFill>
              <w14:schemeClr w14:val="tx1"/>
            </w14:solidFill>
          </w14:textFill>
        </w:rPr>
        <w:t>党建阵地打造项目</w:t>
      </w:r>
      <w:r>
        <w:rPr>
          <w:rFonts w:asciiTheme="minorEastAsia" w:hAnsiTheme="minorEastAsia"/>
          <w:color w:val="000000" w:themeColor="text1"/>
          <w:sz w:val="28"/>
          <w:szCs w:val="28"/>
          <w14:textFill>
            <w14:solidFill>
              <w14:schemeClr w14:val="tx1"/>
            </w14:solidFill>
          </w14:textFill>
        </w:rPr>
        <w:t>进行院内公开比选，现公开邀请符合本次比选要求的</w:t>
      </w:r>
      <w:r>
        <w:rPr>
          <w:rFonts w:hint="eastAsia" w:asciiTheme="minorEastAsia" w:hAnsiTheme="minorEastAsia"/>
          <w:color w:val="000000" w:themeColor="text1"/>
          <w:sz w:val="28"/>
          <w:szCs w:val="28"/>
          <w14:textFill>
            <w14:solidFill>
              <w14:schemeClr w14:val="tx1"/>
            </w14:solidFill>
          </w14:textFill>
        </w:rPr>
        <w:t>供应商</w:t>
      </w:r>
      <w:r>
        <w:rPr>
          <w:rFonts w:asciiTheme="minorEastAsia" w:hAnsiTheme="minorEastAsia"/>
          <w:color w:val="000000" w:themeColor="text1"/>
          <w:sz w:val="28"/>
          <w:szCs w:val="28"/>
          <w14:textFill>
            <w14:solidFill>
              <w14:schemeClr w14:val="tx1"/>
            </w14:solidFill>
          </w14:textFill>
        </w:rPr>
        <w:t>参加，特将有关事宜告知如下：</w:t>
      </w:r>
    </w:p>
    <w:p w14:paraId="05A1BE62">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17" w:name="_Toc13706"/>
      <w:bookmarkStart w:id="18" w:name="_Toc22885"/>
      <w:r>
        <w:rPr>
          <w:rFonts w:hint="eastAsia" w:ascii="黑体" w:hAnsi="黑体" w:eastAsia="黑体" w:cs="黑体"/>
          <w:b w:val="0"/>
          <w:bCs w:val="0"/>
          <w:sz w:val="28"/>
          <w:szCs w:val="28"/>
          <w:lang w:val="zh-CN"/>
        </w:rPr>
        <w:t>一、项目概况</w:t>
      </w:r>
      <w:bookmarkEnd w:id="17"/>
      <w:bookmarkEnd w:id="18"/>
    </w:p>
    <w:p w14:paraId="60CE9884">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14:paraId="0826EEB1">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（二）项目编号：万医采〔2024〕</w:t>
      </w:r>
      <w:r>
        <w:rPr>
          <w:rFonts w:hint="eastAsia" w:asciiTheme="minorEastAsia" w:hAnsiTheme="minorEastAsia"/>
          <w:color w:val="000000" w:themeColor="text1"/>
          <w:sz w:val="28"/>
          <w:szCs w:val="28"/>
          <w:u w:val="single"/>
          <w:lang w:val="en-US" w:eastAsia="zh-CN"/>
          <w14:textFill>
            <w14:solidFill>
              <w14:schemeClr w14:val="tx1"/>
            </w14:solidFill>
          </w14:textFill>
        </w:rPr>
        <w:t>31</w:t>
      </w:r>
      <w:r>
        <w:rPr>
          <w:rFonts w:asciiTheme="minorEastAsia" w:hAnsiTheme="minorEastAsia"/>
          <w:color w:val="000000" w:themeColor="text1"/>
          <w:sz w:val="28"/>
          <w:szCs w:val="28"/>
          <w14:textFill>
            <w14:solidFill>
              <w14:schemeClr w14:val="tx1"/>
            </w14:solidFill>
          </w14:textFill>
        </w:rPr>
        <w:t>号</w:t>
      </w:r>
    </w:p>
    <w:p w14:paraId="00BAD841">
      <w:pPr>
        <w:spacing w:line="580" w:lineRule="exact"/>
        <w:ind w:firstLine="560" w:firstLineChars="200"/>
        <w:rPr>
          <w:rFonts w:hint="eastAsia" w:eastAsia="宋体" w:asciiTheme="minorEastAsia" w:hAnsiTheme="minorEastAsia"/>
          <w:color w:val="000000" w:themeColor="text1"/>
          <w:sz w:val="28"/>
          <w:szCs w:val="28"/>
          <w:lang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（三）项目名称：</w:t>
      </w:r>
      <w:r>
        <w:rPr>
          <w:rFonts w:hint="eastAsia" w:asciiTheme="minorEastAsia" w:hAnsiTheme="minorEastAsia"/>
          <w:color w:val="000000" w:themeColor="text1"/>
          <w:sz w:val="28"/>
          <w:szCs w:val="28"/>
          <w:lang w:eastAsia="zh-CN"/>
          <w14:textFill>
            <w14:solidFill>
              <w14:schemeClr w14:val="tx1"/>
            </w14:solidFill>
          </w14:textFill>
        </w:rPr>
        <w:t>党建阵地打造项目</w:t>
      </w:r>
    </w:p>
    <w:p w14:paraId="2907DF05">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（四）采购方式：院内比选</w:t>
      </w:r>
    </w:p>
    <w:p w14:paraId="7022F121">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w:t>
      </w:r>
      <w:r>
        <w:rPr>
          <w:rFonts w:hint="eastAsia" w:asciiTheme="minorEastAsia" w:hAnsiTheme="minorEastAsia"/>
          <w:color w:val="000000" w:themeColor="text1"/>
          <w:sz w:val="28"/>
          <w:szCs w:val="28"/>
          <w14:textFill>
            <w14:solidFill>
              <w14:schemeClr w14:val="tx1"/>
            </w14:solidFill>
          </w14:textFill>
        </w:rPr>
        <w:t>预算金额：</w:t>
      </w:r>
      <w:r>
        <w:rPr>
          <w:rFonts w:hint="eastAsia" w:asciiTheme="minorEastAsia" w:hAnsiTheme="minorEastAsia"/>
          <w:color w:val="000000" w:themeColor="text1"/>
          <w:sz w:val="28"/>
          <w:szCs w:val="28"/>
          <w:u w:val="single"/>
          <w:lang w:val="en-US" w:eastAsia="zh-CN"/>
          <w14:textFill>
            <w14:solidFill>
              <w14:schemeClr w14:val="tx1"/>
            </w14:solidFill>
          </w14:textFill>
        </w:rPr>
        <w:t>19.5</w:t>
      </w:r>
      <w:r>
        <w:rPr>
          <w:rFonts w:hint="eastAsia" w:asciiTheme="minorEastAsia" w:hAnsiTheme="minorEastAsia"/>
          <w:color w:val="000000" w:themeColor="text1"/>
          <w:sz w:val="28"/>
          <w:szCs w:val="28"/>
          <w14:textFill>
            <w14:solidFill>
              <w14:schemeClr w14:val="tx1"/>
            </w14:solidFill>
          </w14:textFill>
        </w:rPr>
        <w:t>万元</w:t>
      </w:r>
    </w:p>
    <w:p w14:paraId="1E4622C3">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19" w:name="_Toc12124"/>
      <w:bookmarkStart w:id="20" w:name="_Toc19654"/>
      <w:r>
        <w:rPr>
          <w:rFonts w:hint="eastAsia" w:ascii="黑体" w:hAnsi="黑体" w:eastAsia="黑体" w:cs="黑体"/>
          <w:b w:val="0"/>
          <w:bCs w:val="0"/>
          <w:sz w:val="28"/>
          <w:szCs w:val="28"/>
          <w:lang w:val="zh-CN"/>
        </w:rPr>
        <w:t>二、比选申请人资格要求</w:t>
      </w:r>
      <w:bookmarkEnd w:id="19"/>
      <w:bookmarkEnd w:id="20"/>
    </w:p>
    <w:p w14:paraId="5A2D1C69">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（一）在中华人民共和国境内注册，具有独立承担民事责任能力的机构</w:t>
      </w:r>
    </w:p>
    <w:p w14:paraId="407172C5">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（二）具有良好的商业信誉和健全的财务会计制度</w:t>
      </w:r>
    </w:p>
    <w:p w14:paraId="27BCBAA1">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（三）具有履行合同所必须的设备和专业技术能力</w:t>
      </w:r>
    </w:p>
    <w:p w14:paraId="3252625A">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（四）具有依法缴纳税收和社会保障资金的良好记录</w:t>
      </w:r>
    </w:p>
    <w:p w14:paraId="5C27618D">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（五）参加本次比选活动前三年内，在经营活动中没有重大违法违规记录</w:t>
      </w:r>
    </w:p>
    <w:p w14:paraId="183BF3D3">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w:t>
      </w:r>
    </w:p>
    <w:p w14:paraId="7DBBFFF6">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14:paraId="25E9E072">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（八）本项目特殊资质要求</w:t>
      </w:r>
    </w:p>
    <w:p w14:paraId="683BE1E9">
      <w:pPr>
        <w:spacing w:line="580" w:lineRule="exact"/>
        <w:ind w:firstLine="560" w:firstLineChars="200"/>
        <w:rPr>
          <w:rFonts w:hint="eastAsia"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1、本项目不允许联合体参加。</w:t>
      </w:r>
    </w:p>
    <w:p w14:paraId="347E601B">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2、本项目不允许合同分包。</w:t>
      </w:r>
    </w:p>
    <w:p w14:paraId="14E5DCE2">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（九）其他类似效力要求：①法定代表人身份证明②法定代表人授权委托书③法人及</w:t>
      </w:r>
      <w:r>
        <w:rPr>
          <w:rFonts w:hint="eastAsia" w:asciiTheme="minorEastAsia" w:hAnsiTheme="minorEastAsia"/>
          <w:color w:val="000000" w:themeColor="text1"/>
          <w:sz w:val="28"/>
          <w:szCs w:val="28"/>
          <w14:textFill>
            <w14:solidFill>
              <w14:schemeClr w14:val="tx1"/>
            </w14:solidFill>
          </w14:textFill>
        </w:rPr>
        <w:t>被授权人</w:t>
      </w:r>
      <w:r>
        <w:rPr>
          <w:rFonts w:asciiTheme="minorEastAsia" w:hAnsiTheme="minorEastAsia"/>
          <w:color w:val="000000" w:themeColor="text1"/>
          <w:sz w:val="28"/>
          <w:szCs w:val="28"/>
          <w14:textFill>
            <w14:solidFill>
              <w14:schemeClr w14:val="tx1"/>
            </w14:solidFill>
          </w14:textFill>
        </w:rPr>
        <w:t>身份</w:t>
      </w:r>
      <w:r>
        <w:rPr>
          <w:rFonts w:hint="eastAsia" w:asciiTheme="minorEastAsia" w:hAnsiTheme="minorEastAsia"/>
          <w:color w:val="000000" w:themeColor="text1"/>
          <w:sz w:val="28"/>
          <w:szCs w:val="28"/>
          <w14:textFill>
            <w14:solidFill>
              <w14:schemeClr w14:val="tx1"/>
            </w14:solidFill>
          </w14:textFill>
        </w:rPr>
        <w:t>证</w:t>
      </w:r>
      <w:r>
        <w:rPr>
          <w:rFonts w:asciiTheme="minorEastAsia" w:hAnsiTheme="minorEastAsia"/>
          <w:color w:val="000000" w:themeColor="text1"/>
          <w:sz w:val="28"/>
          <w:szCs w:val="28"/>
          <w14:textFill>
            <w14:solidFill>
              <w14:schemeClr w14:val="tx1"/>
            </w14:solidFill>
          </w14:textFill>
        </w:rPr>
        <w:t>复印件</w:t>
      </w:r>
    </w:p>
    <w:p w14:paraId="70A369FE">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21" w:name="_Toc2870"/>
      <w:bookmarkStart w:id="22" w:name="_Toc25476"/>
      <w:r>
        <w:rPr>
          <w:rFonts w:hint="eastAsia" w:ascii="黑体" w:hAnsi="黑体" w:eastAsia="黑体" w:cs="黑体"/>
          <w:b w:val="0"/>
          <w:bCs w:val="0"/>
          <w:sz w:val="28"/>
          <w:szCs w:val="28"/>
          <w:lang w:val="zh-CN"/>
        </w:rPr>
        <w:t>三、比选文件获取</w:t>
      </w:r>
      <w:bookmarkEnd w:id="21"/>
      <w:bookmarkEnd w:id="22"/>
    </w:p>
    <w:p w14:paraId="57EBE3A3">
      <w:pPr>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比选文件请登陆万源市中心医院官网（www.wyszxyy.com）自行下载获取。</w:t>
      </w:r>
    </w:p>
    <w:p w14:paraId="16A7E2CB">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23" w:name="_Toc5406"/>
      <w:bookmarkStart w:id="24" w:name="_Toc10277"/>
      <w:r>
        <w:rPr>
          <w:rFonts w:hint="eastAsia" w:ascii="黑体" w:hAnsi="黑体" w:eastAsia="黑体" w:cs="黑体"/>
          <w:b w:val="0"/>
          <w:bCs w:val="0"/>
          <w:sz w:val="28"/>
          <w:szCs w:val="28"/>
          <w:lang w:val="zh-CN"/>
        </w:rPr>
        <w:t>四、比选申请文件递交方式及截止时间</w:t>
      </w:r>
      <w:bookmarkEnd w:id="23"/>
      <w:bookmarkEnd w:id="24"/>
    </w:p>
    <w:p w14:paraId="4A1F0D4B">
      <w:pPr>
        <w:ind w:firstLine="560" w:firstLineChars="200"/>
        <w:rPr>
          <w:rFonts w:ascii="宋体" w:hAnsi="宋体" w:cs="宋体"/>
          <w:sz w:val="28"/>
          <w:szCs w:val="28"/>
        </w:rPr>
      </w:pPr>
      <w:r>
        <w:rPr>
          <w:rFonts w:hint="eastAsia" w:ascii="宋体" w:hAnsi="宋体" w:cs="宋体"/>
          <w:sz w:val="28"/>
          <w:szCs w:val="28"/>
        </w:rPr>
        <w:t>1、比选申请文件递交方式：可当面递交或特快专递以及其它方式在投标截止时间前送达（邮寄）至万源市中心医院招标采购管理办公室。逾期送达的比选申请文件不参与评标。</w:t>
      </w:r>
    </w:p>
    <w:p w14:paraId="44FCDB3E">
      <w:pPr>
        <w:ind w:firstLine="560" w:firstLineChars="200"/>
        <w:rPr>
          <w:rFonts w:ascii="宋体" w:hAnsi="宋体" w:cs="宋体"/>
          <w:sz w:val="28"/>
          <w:szCs w:val="28"/>
        </w:rPr>
      </w:pPr>
      <w:r>
        <w:rPr>
          <w:rFonts w:hint="eastAsia" w:ascii="宋体" w:hAnsi="宋体" w:cs="宋体"/>
          <w:sz w:val="28"/>
          <w:szCs w:val="28"/>
        </w:rPr>
        <w:t>2、比选申请文件递</w:t>
      </w:r>
      <w:r>
        <w:rPr>
          <w:rFonts w:hint="eastAsia" w:ascii="宋体" w:hAnsi="宋体" w:cs="宋体"/>
          <w:sz w:val="28"/>
          <w:szCs w:val="28"/>
          <w:highlight w:val="none"/>
        </w:rPr>
        <w:t>交截止时间：202</w:t>
      </w:r>
      <w:r>
        <w:rPr>
          <w:rFonts w:ascii="宋体" w:hAnsi="宋体" w:cs="宋体"/>
          <w:sz w:val="28"/>
          <w:szCs w:val="28"/>
          <w:highlight w:val="none"/>
        </w:rPr>
        <w:t>4</w:t>
      </w:r>
      <w:r>
        <w:rPr>
          <w:rFonts w:hint="eastAsia" w:ascii="宋体" w:hAnsi="宋体" w:cs="宋体"/>
          <w:sz w:val="28"/>
          <w:szCs w:val="28"/>
          <w:highlight w:val="none"/>
        </w:rPr>
        <w:t>年</w:t>
      </w:r>
      <w:r>
        <w:rPr>
          <w:rFonts w:hint="eastAsia" w:ascii="宋体" w:hAnsi="宋体" w:cs="宋体"/>
          <w:sz w:val="28"/>
          <w:szCs w:val="28"/>
          <w:highlight w:val="none"/>
          <w:u w:val="single"/>
          <w:lang w:val="en-US" w:eastAsia="zh-CN"/>
        </w:rPr>
        <w:t>12</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 xml:space="preserve"> 6</w:t>
      </w:r>
      <w:r>
        <w:rPr>
          <w:rFonts w:hint="eastAsia" w:ascii="宋体" w:hAnsi="宋体" w:cs="宋体"/>
          <w:sz w:val="28"/>
          <w:szCs w:val="28"/>
          <w:highlight w:val="none"/>
        </w:rPr>
        <w:t>日</w:t>
      </w:r>
      <w:r>
        <w:rPr>
          <w:rFonts w:hint="eastAsia" w:ascii="宋体" w:hAnsi="宋体" w:cs="宋体"/>
          <w:sz w:val="28"/>
          <w:szCs w:val="28"/>
          <w:highlight w:val="none"/>
          <w:lang w:val="en-US" w:eastAsia="zh-CN"/>
        </w:rPr>
        <w:t>上午9：0</w:t>
      </w:r>
      <w:r>
        <w:rPr>
          <w:rFonts w:hint="eastAsia" w:ascii="宋体" w:hAnsi="宋体" w:cs="宋体"/>
          <w:sz w:val="28"/>
          <w:szCs w:val="28"/>
          <w:highlight w:val="none"/>
        </w:rPr>
        <w:t>0</w:t>
      </w:r>
      <w:r>
        <w:rPr>
          <w:rFonts w:hint="eastAsia" w:ascii="宋体" w:hAnsi="宋体" w:cs="宋体"/>
          <w:sz w:val="28"/>
          <w:szCs w:val="28"/>
        </w:rPr>
        <w:t>（北京时间）。</w:t>
      </w:r>
    </w:p>
    <w:p w14:paraId="4557CB92">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25" w:name="_Toc9506"/>
      <w:bookmarkStart w:id="26" w:name="_Toc15091"/>
      <w:r>
        <w:rPr>
          <w:rFonts w:hint="eastAsia" w:ascii="黑体" w:hAnsi="黑体" w:eastAsia="黑体" w:cs="黑体"/>
          <w:b w:val="0"/>
          <w:bCs w:val="0"/>
          <w:sz w:val="28"/>
          <w:szCs w:val="28"/>
          <w:lang w:val="zh-CN"/>
        </w:rPr>
        <w:t>五、开标及结果公示</w:t>
      </w:r>
      <w:bookmarkEnd w:id="25"/>
      <w:bookmarkEnd w:id="26"/>
    </w:p>
    <w:p w14:paraId="7CF6597F">
      <w:pPr>
        <w:ind w:firstLine="560" w:firstLineChars="200"/>
        <w:rPr>
          <w:rFonts w:ascii="宋体" w:hAnsi="宋体" w:cs="宋体"/>
          <w:sz w:val="28"/>
          <w:szCs w:val="28"/>
        </w:rPr>
      </w:pPr>
      <w:r>
        <w:rPr>
          <w:rFonts w:hint="eastAsia" w:ascii="宋体" w:hAnsi="宋体" w:cs="宋体"/>
          <w:sz w:val="28"/>
          <w:szCs w:val="28"/>
        </w:rPr>
        <w:t>1、比选申请文件递交时间截止后，医院择时进行开标。</w:t>
      </w:r>
    </w:p>
    <w:p w14:paraId="3188C169">
      <w:pPr>
        <w:ind w:firstLine="560" w:firstLineChars="200"/>
        <w:rPr>
          <w:rFonts w:ascii="宋体" w:hAnsi="宋体" w:cs="宋体"/>
          <w:sz w:val="28"/>
          <w:szCs w:val="28"/>
        </w:rPr>
      </w:pPr>
      <w:r>
        <w:rPr>
          <w:rFonts w:ascii="宋体" w:hAnsi="宋体" w:cs="宋体"/>
          <w:sz w:val="28"/>
          <w:szCs w:val="28"/>
        </w:rPr>
        <w:t>2</w:t>
      </w:r>
      <w:r>
        <w:rPr>
          <w:rFonts w:hint="eastAsia" w:ascii="宋体" w:hAnsi="宋体" w:cs="宋体"/>
          <w:sz w:val="28"/>
          <w:szCs w:val="28"/>
        </w:rPr>
        <w:t>、比选结果在万源市中心医院官网（www.wyszxyy.com）上公示。</w:t>
      </w:r>
    </w:p>
    <w:p w14:paraId="5E22A5C3">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27" w:name="_Toc27387"/>
      <w:bookmarkStart w:id="28" w:name="_Toc23866"/>
      <w:r>
        <w:rPr>
          <w:rFonts w:hint="eastAsia" w:ascii="黑体" w:hAnsi="黑体" w:eastAsia="黑体" w:cs="黑体"/>
          <w:b w:val="0"/>
          <w:bCs w:val="0"/>
          <w:sz w:val="28"/>
          <w:szCs w:val="28"/>
          <w:lang w:val="zh-CN"/>
        </w:rPr>
        <w:t>六、联系方式</w:t>
      </w:r>
      <w:bookmarkEnd w:id="27"/>
      <w:bookmarkEnd w:id="28"/>
    </w:p>
    <w:p w14:paraId="42AA0B12">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14:paraId="61EE0EEF">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（二）联系人：代老师      联系电话：13982894161</w:t>
      </w:r>
    </w:p>
    <w:p w14:paraId="1CC39656">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（三）地址：万源市中心医院</w:t>
      </w:r>
      <w:r>
        <w:rPr>
          <w:rFonts w:hint="eastAsia" w:asciiTheme="minorEastAsia" w:hAnsiTheme="minorEastAsia"/>
          <w:color w:val="000000" w:themeColor="text1"/>
          <w:sz w:val="28"/>
          <w:szCs w:val="28"/>
          <w14:textFill>
            <w14:solidFill>
              <w14:schemeClr w14:val="tx1"/>
            </w14:solidFill>
          </w14:textFill>
        </w:rPr>
        <w:t>招标采购管理办公室（达州市万源市古东关街道春坪巷7号）</w:t>
      </w:r>
    </w:p>
    <w:p w14:paraId="521B6EB3">
      <w:pPr>
        <w:widowControl/>
        <w:jc w:val="left"/>
      </w:pPr>
      <w:r>
        <w:br w:type="page"/>
      </w:r>
    </w:p>
    <w:p w14:paraId="37B6832E">
      <w:pPr>
        <w:pStyle w:val="22"/>
      </w:pPr>
      <w:bookmarkStart w:id="29" w:name="_Toc29113"/>
      <w:bookmarkStart w:id="30" w:name="_Toc14278"/>
      <w:bookmarkStart w:id="31" w:name="_Toc14516"/>
      <w:r>
        <w:rPr>
          <w:rFonts w:hint="eastAsia" w:ascii="方正小标宋简体" w:hAnsi="方正小标宋简体" w:eastAsia="方正小标宋简体" w:cs="方正小标宋简体"/>
          <w:b w:val="0"/>
          <w:bCs w:val="0"/>
        </w:rPr>
        <w:t>第二章 比选申请人须知</w:t>
      </w:r>
      <w:bookmarkEnd w:id="29"/>
      <w:bookmarkEnd w:id="30"/>
      <w:bookmarkEnd w:id="31"/>
    </w:p>
    <w:p w14:paraId="49E9547D">
      <w:pPr>
        <w:spacing w:line="360" w:lineRule="auto"/>
        <w:ind w:firstLine="480" w:firstLineChars="200"/>
        <w:rPr>
          <w:rFonts w:ascii="Times New Roman" w:hAnsi="Times New Roman"/>
          <w:color w:val="000000" w:themeColor="text1"/>
          <w:sz w:val="24"/>
          <w14:textFill>
            <w14:solidFill>
              <w14:schemeClr w14:val="tx1"/>
            </w14:solidFill>
          </w14:textFill>
        </w:rPr>
      </w:pPr>
    </w:p>
    <w:p w14:paraId="7A4B50CF">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32" w:name="_Toc10291"/>
      <w:bookmarkStart w:id="33" w:name="_Toc26281"/>
      <w:r>
        <w:rPr>
          <w:rFonts w:hint="eastAsia" w:ascii="黑体" w:hAnsi="黑体" w:eastAsia="黑体" w:cs="黑体"/>
          <w:b w:val="0"/>
          <w:bCs w:val="0"/>
          <w:sz w:val="28"/>
          <w:szCs w:val="28"/>
          <w:lang w:val="zh-CN"/>
        </w:rPr>
        <w:t>一、项目名称</w:t>
      </w:r>
      <w:bookmarkEnd w:id="32"/>
      <w:bookmarkEnd w:id="33"/>
    </w:p>
    <w:p w14:paraId="2D1F2386">
      <w:pPr>
        <w:spacing w:line="580" w:lineRule="exact"/>
        <w:ind w:left="640"/>
        <w:rPr>
          <w:rFonts w:ascii="Times New Roman" w:hAnsi="Times New Roman" w:eastAsia="仿宋"/>
          <w:color w:val="000000" w:themeColor="text1"/>
          <w:sz w:val="32"/>
          <w:szCs w:val="32"/>
          <w14:textFill>
            <w14:solidFill>
              <w14:schemeClr w14:val="tx1"/>
            </w14:solidFill>
          </w14:textFill>
        </w:rPr>
      </w:pPr>
      <w:r>
        <w:rPr>
          <w:rFonts w:hint="eastAsia" w:asciiTheme="minorEastAsia" w:hAnsiTheme="minorEastAsia"/>
          <w:color w:val="000000" w:themeColor="text1"/>
          <w:sz w:val="28"/>
          <w:szCs w:val="28"/>
          <w:lang w:eastAsia="zh-CN"/>
          <w14:textFill>
            <w14:solidFill>
              <w14:schemeClr w14:val="tx1"/>
            </w14:solidFill>
          </w14:textFill>
        </w:rPr>
        <w:t>党建阵地打造项目</w:t>
      </w:r>
      <w:r>
        <w:rPr>
          <w:rFonts w:ascii="宋体" w:hAnsi="宋体"/>
          <w:color w:val="000000" w:themeColor="text1"/>
          <w:sz w:val="28"/>
          <w:szCs w:val="28"/>
          <w14:textFill>
            <w14:solidFill>
              <w14:schemeClr w14:val="tx1"/>
            </w14:solidFill>
          </w14:textFill>
        </w:rPr>
        <w:t>。</w:t>
      </w:r>
    </w:p>
    <w:p w14:paraId="7A776DB9">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34" w:name="_Toc17232"/>
      <w:bookmarkStart w:id="35" w:name="_Toc27748"/>
      <w:r>
        <w:rPr>
          <w:rFonts w:hint="eastAsia" w:ascii="黑体" w:hAnsi="黑体" w:eastAsia="黑体" w:cs="黑体"/>
          <w:b w:val="0"/>
          <w:bCs w:val="0"/>
          <w:sz w:val="28"/>
          <w:szCs w:val="28"/>
          <w:lang w:val="zh-CN"/>
        </w:rPr>
        <w:t>二、比选内容</w:t>
      </w:r>
      <w:bookmarkEnd w:id="34"/>
      <w:bookmarkEnd w:id="35"/>
    </w:p>
    <w:p w14:paraId="753980FB">
      <w:pPr>
        <w:spacing w:line="580" w:lineRule="exact"/>
        <w:ind w:firstLine="560" w:firstLineChars="200"/>
        <w:rPr>
          <w:rFonts w:ascii="Times New Roman" w:hAnsi="Times New Roman" w:eastAsia="仿宋"/>
          <w:color w:val="000000" w:themeColor="text1"/>
          <w:sz w:val="32"/>
          <w:szCs w:val="32"/>
          <w14:textFill>
            <w14:solidFill>
              <w14:schemeClr w14:val="tx1"/>
            </w14:solidFill>
          </w14:textFill>
        </w:rPr>
      </w:pPr>
      <w:r>
        <w:rPr>
          <w:rFonts w:ascii="宋体" w:hAnsi="宋体"/>
          <w:color w:val="000000" w:themeColor="text1"/>
          <w:sz w:val="28"/>
          <w:szCs w:val="28"/>
          <w14:textFill>
            <w14:solidFill>
              <w14:schemeClr w14:val="tx1"/>
            </w14:solidFill>
          </w14:textFill>
        </w:rPr>
        <w:t>通过院内比选采购方式，确定1家</w:t>
      </w:r>
      <w:r>
        <w:rPr>
          <w:rFonts w:hint="eastAsia" w:ascii="宋体" w:hAnsi="宋体"/>
          <w:color w:val="000000" w:themeColor="text1"/>
          <w:sz w:val="28"/>
          <w:szCs w:val="28"/>
          <w14:textFill>
            <w14:solidFill>
              <w14:schemeClr w14:val="tx1"/>
            </w14:solidFill>
          </w14:textFill>
        </w:rPr>
        <w:t>供应商作为</w:t>
      </w:r>
      <w:r>
        <w:rPr>
          <w:rFonts w:hint="eastAsia" w:asciiTheme="minorEastAsia" w:hAnsiTheme="minorEastAsia"/>
          <w:color w:val="000000" w:themeColor="text1"/>
          <w:sz w:val="28"/>
          <w:szCs w:val="28"/>
          <w:lang w:eastAsia="zh-CN"/>
          <w14:textFill>
            <w14:solidFill>
              <w14:schemeClr w14:val="tx1"/>
            </w14:solidFill>
          </w14:textFill>
        </w:rPr>
        <w:t>党建阵地打造项目</w:t>
      </w:r>
      <w:r>
        <w:rPr>
          <w:rFonts w:ascii="宋体" w:hAnsi="宋体"/>
          <w:color w:val="000000" w:themeColor="text1"/>
          <w:sz w:val="28"/>
          <w:szCs w:val="28"/>
          <w14:textFill>
            <w14:solidFill>
              <w14:schemeClr w14:val="tx1"/>
            </w14:solidFill>
          </w14:textFill>
        </w:rPr>
        <w:t>供应商</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 xml:space="preserve"> </w:t>
      </w:r>
    </w:p>
    <w:p w14:paraId="7E714781">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36" w:name="_Toc13868"/>
      <w:bookmarkStart w:id="37" w:name="_Toc24184"/>
      <w:r>
        <w:rPr>
          <w:rFonts w:hint="eastAsia" w:ascii="黑体" w:hAnsi="黑体" w:eastAsia="黑体" w:cs="黑体"/>
          <w:b w:val="0"/>
          <w:bCs w:val="0"/>
          <w:sz w:val="28"/>
          <w:szCs w:val="28"/>
          <w:lang w:val="zh-CN"/>
        </w:rPr>
        <w:t>三、比选申请人资格要求、相关证明材料要求（本项中所要求提供的证明材料均须加盖比选申请人公章，否则将视为无效证明材料）</w:t>
      </w:r>
      <w:bookmarkEnd w:id="36"/>
      <w:bookmarkEnd w:id="37"/>
    </w:p>
    <w:p w14:paraId="620C05D8">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（一）在中华人民共和国境内注册，具有独立承担民事责任能力的机构（提供“三证合一”的营业执照复印件）</w:t>
      </w:r>
    </w:p>
    <w:p w14:paraId="411A9989">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（二）具有良好的商业信誉和健全的财务会计制度【具有良好的商业信誉和健全的财务会计制度。</w:t>
      </w:r>
      <w:r>
        <w:rPr>
          <w:rFonts w:hint="eastAsia" w:ascii="宋体" w:hAnsi="宋体"/>
          <w:color w:val="000000" w:themeColor="text1"/>
          <w:sz w:val="28"/>
          <w:szCs w:val="28"/>
          <w:lang w:eastAsia="zh-CN"/>
          <w14:textFill>
            <w14:solidFill>
              <w14:schemeClr w14:val="tx1"/>
            </w14:solidFill>
          </w14:textFill>
        </w:rPr>
        <w:t>可</w:t>
      </w:r>
      <w:r>
        <w:rPr>
          <w:rFonts w:ascii="宋体" w:hAnsi="宋体"/>
          <w:color w:val="000000" w:themeColor="text1"/>
          <w:sz w:val="28"/>
          <w:szCs w:val="28"/>
          <w14:textFill>
            <w14:solidFill>
              <w14:schemeClr w14:val="tx1"/>
            </w14:solidFill>
          </w14:textFill>
        </w:rPr>
        <w:t>提供以下材料之一①提供2022</w:t>
      </w:r>
      <w:r>
        <w:rPr>
          <w:rFonts w:hint="eastAsia" w:ascii="宋体" w:hAnsi="宋体"/>
          <w:color w:val="000000" w:themeColor="text1"/>
          <w:sz w:val="28"/>
          <w:szCs w:val="28"/>
          <w14:textFill>
            <w14:solidFill>
              <w14:schemeClr w14:val="tx1"/>
            </w14:solidFill>
          </w14:textFill>
        </w:rPr>
        <w:t>或2023</w:t>
      </w:r>
      <w:r>
        <w:rPr>
          <w:rFonts w:ascii="宋体" w:hAnsi="宋体"/>
          <w:color w:val="000000" w:themeColor="text1"/>
          <w:sz w:val="28"/>
          <w:szCs w:val="28"/>
          <w14:textFill>
            <w14:solidFill>
              <w14:schemeClr w14:val="tx1"/>
            </w14:solidFill>
          </w14:textFill>
        </w:rPr>
        <w:t>年度经审计的财务报告复印件（包含审计报告和审计报告中所涉及的财务报表和报表附注）或2022</w:t>
      </w:r>
      <w:r>
        <w:rPr>
          <w:rFonts w:hint="eastAsia" w:ascii="宋体" w:hAnsi="宋体"/>
          <w:color w:val="000000" w:themeColor="text1"/>
          <w:sz w:val="28"/>
          <w:szCs w:val="28"/>
          <w14:textFill>
            <w14:solidFill>
              <w14:schemeClr w14:val="tx1"/>
            </w14:solidFill>
          </w14:textFill>
        </w:rPr>
        <w:t>或2023</w:t>
      </w:r>
      <w:r>
        <w:rPr>
          <w:rFonts w:ascii="宋体" w:hAnsi="宋体"/>
          <w:color w:val="000000" w:themeColor="text1"/>
          <w:sz w:val="28"/>
          <w:szCs w:val="28"/>
          <w14:textFill>
            <w14:solidFill>
              <w14:schemeClr w14:val="tx1"/>
            </w14:solidFill>
          </w14:textFill>
        </w:rPr>
        <w:t>年度投标人内部的财务报表复印件（至少包含资产负债表）或截至《投标文件》递交截止日一年内银行出具的资信证明复印件；②成立不足一年的比选申请人可提供在工商备案的章程。③提供承诺函；</w:t>
      </w:r>
      <w:r>
        <w:rPr>
          <w:rFonts w:hint="eastAsia" w:ascii="宋体" w:hAnsi="宋体"/>
          <w:color w:val="000000" w:themeColor="text1"/>
          <w:sz w:val="28"/>
          <w:szCs w:val="28"/>
          <w14:textFill>
            <w14:solidFill>
              <w14:schemeClr w14:val="tx1"/>
            </w14:solidFill>
          </w14:textFill>
        </w:rPr>
        <w:t>④</w:t>
      </w:r>
      <w:r>
        <w:rPr>
          <w:rFonts w:ascii="宋体" w:hAnsi="宋体"/>
          <w:color w:val="000000" w:themeColor="text1"/>
          <w:sz w:val="28"/>
          <w:szCs w:val="28"/>
          <w14:textFill>
            <w14:solidFill>
              <w14:schemeClr w14:val="tx1"/>
            </w14:solidFill>
          </w14:textFill>
        </w:rPr>
        <w:t>其他能证明良好商业信誉的其他相关证明材料】</w:t>
      </w:r>
    </w:p>
    <w:p w14:paraId="095020CE">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（三）具有履行合同所必须的设备和专业技术能力（</w:t>
      </w:r>
      <w:r>
        <w:rPr>
          <w:rFonts w:hint="eastAsia" w:ascii="宋体" w:hAnsi="宋体"/>
          <w:color w:val="000000" w:themeColor="text1"/>
          <w:sz w:val="28"/>
          <w:szCs w:val="28"/>
          <w14:textFill>
            <w14:solidFill>
              <w14:schemeClr w14:val="tx1"/>
            </w14:solidFill>
          </w14:textFill>
        </w:rPr>
        <w:t>提供承诺函</w:t>
      </w:r>
      <w:r>
        <w:rPr>
          <w:rFonts w:ascii="宋体" w:hAnsi="宋体"/>
          <w:color w:val="000000" w:themeColor="text1"/>
          <w:sz w:val="28"/>
          <w:szCs w:val="28"/>
          <w14:textFill>
            <w14:solidFill>
              <w14:schemeClr w14:val="tx1"/>
            </w14:solidFill>
          </w14:textFill>
        </w:rPr>
        <w:t>）</w:t>
      </w:r>
    </w:p>
    <w:p w14:paraId="375D178F">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（四）具有依法缴纳税收和社会保障资金的良好记录（</w:t>
      </w:r>
      <w:r>
        <w:rPr>
          <w:rFonts w:hint="eastAsia" w:ascii="宋体" w:hAnsi="宋体"/>
          <w:color w:val="000000" w:themeColor="text1"/>
          <w:sz w:val="28"/>
          <w:szCs w:val="28"/>
          <w:lang w:eastAsia="zh-CN"/>
          <w14:textFill>
            <w14:solidFill>
              <w14:schemeClr w14:val="tx1"/>
            </w14:solidFill>
          </w14:textFill>
        </w:rPr>
        <w:t>可</w:t>
      </w:r>
      <w:r>
        <w:rPr>
          <w:rFonts w:ascii="宋体" w:hAnsi="宋体"/>
          <w:color w:val="000000" w:themeColor="text1"/>
          <w:sz w:val="28"/>
          <w:szCs w:val="28"/>
          <w14:textFill>
            <w14:solidFill>
              <w14:schemeClr w14:val="tx1"/>
            </w14:solidFill>
          </w14:textFill>
        </w:rPr>
        <w:t>提供</w:t>
      </w:r>
      <w:r>
        <w:rPr>
          <w:rFonts w:hint="eastAsia" w:ascii="宋体" w:hAnsi="宋体"/>
          <w:color w:val="000000" w:themeColor="text1"/>
          <w:sz w:val="28"/>
          <w:szCs w:val="28"/>
          <w:lang w:eastAsia="zh-CN"/>
          <w14:textFill>
            <w14:solidFill>
              <w14:schemeClr w14:val="tx1"/>
            </w14:solidFill>
          </w14:textFill>
        </w:rPr>
        <w:t>以下材料之一①</w:t>
      </w:r>
      <w:r>
        <w:rPr>
          <w:rFonts w:ascii="宋体" w:hAnsi="宋体"/>
          <w:color w:val="000000" w:themeColor="text1"/>
          <w:sz w:val="28"/>
          <w:szCs w:val="28"/>
          <w14:textFill>
            <w14:solidFill>
              <w14:schemeClr w14:val="tx1"/>
            </w14:solidFill>
          </w14:textFill>
        </w:rPr>
        <w:t>近半年内任意1月的缴税</w:t>
      </w:r>
      <w:r>
        <w:rPr>
          <w:rFonts w:hint="eastAsia" w:ascii="宋体" w:hAnsi="宋体"/>
          <w:color w:val="000000" w:themeColor="text1"/>
          <w:sz w:val="28"/>
          <w:szCs w:val="28"/>
          <w:lang w:eastAsia="zh-CN"/>
          <w14:textFill>
            <w14:solidFill>
              <w14:schemeClr w14:val="tx1"/>
            </w14:solidFill>
          </w14:textFill>
        </w:rPr>
        <w:t>证明</w:t>
      </w:r>
      <w:r>
        <w:rPr>
          <w:rFonts w:ascii="宋体" w:hAnsi="宋体"/>
          <w:color w:val="000000" w:themeColor="text1"/>
          <w:sz w:val="28"/>
          <w:szCs w:val="28"/>
          <w14:textFill>
            <w14:solidFill>
              <w14:schemeClr w14:val="tx1"/>
            </w14:solidFill>
          </w14:textFill>
        </w:rPr>
        <w:t>及社保缴纳证明</w:t>
      </w:r>
      <w:r>
        <w:rPr>
          <w:rFonts w:hint="eastAsia" w:ascii="宋体" w:hAnsi="宋体"/>
          <w:color w:val="000000" w:themeColor="text1"/>
          <w:sz w:val="28"/>
          <w:szCs w:val="28"/>
          <w:lang w:eastAsia="zh-CN"/>
          <w14:textFill>
            <w14:solidFill>
              <w14:schemeClr w14:val="tx1"/>
            </w14:solidFill>
          </w14:textFill>
        </w:rPr>
        <w:t>；②</w:t>
      </w:r>
      <w:r>
        <w:rPr>
          <w:rFonts w:hint="eastAsia" w:ascii="宋体" w:hAnsi="宋体"/>
          <w:color w:val="000000" w:themeColor="text1"/>
          <w:sz w:val="28"/>
          <w:szCs w:val="28"/>
          <w14:textFill>
            <w14:solidFill>
              <w14:schemeClr w14:val="tx1"/>
            </w14:solidFill>
          </w14:textFill>
        </w:rPr>
        <w:t>承诺函</w:t>
      </w:r>
      <w:r>
        <w:rPr>
          <w:rFonts w:ascii="宋体" w:hAnsi="宋体"/>
          <w:color w:val="000000" w:themeColor="text1"/>
          <w:sz w:val="28"/>
          <w:szCs w:val="28"/>
          <w14:textFill>
            <w14:solidFill>
              <w14:schemeClr w14:val="tx1"/>
            </w14:solidFill>
          </w14:textFill>
        </w:rPr>
        <w:t>）</w:t>
      </w:r>
    </w:p>
    <w:p w14:paraId="721EC4C3">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（五）参加本次比选活动前三年内，在经营活动中没有重大违法违规记录（提供无违法记录的</w:t>
      </w:r>
      <w:r>
        <w:rPr>
          <w:rFonts w:hint="eastAsia" w:ascii="宋体" w:hAnsi="宋体"/>
          <w:color w:val="000000" w:themeColor="text1"/>
          <w:sz w:val="28"/>
          <w:szCs w:val="28"/>
          <w:lang w:eastAsia="zh-CN"/>
          <w14:textFill>
            <w14:solidFill>
              <w14:schemeClr w14:val="tx1"/>
            </w14:solidFill>
          </w14:textFill>
        </w:rPr>
        <w:t>承诺函</w:t>
      </w:r>
      <w:r>
        <w:rPr>
          <w:rFonts w:ascii="宋体" w:hAnsi="宋体"/>
          <w:color w:val="000000" w:themeColor="text1"/>
          <w:sz w:val="28"/>
          <w:szCs w:val="28"/>
          <w14:textFill>
            <w14:solidFill>
              <w14:schemeClr w14:val="tx1"/>
            </w14:solidFill>
          </w14:textFill>
        </w:rPr>
        <w:t>及“信用中国”</w:t>
      </w:r>
      <w:r>
        <w:rPr>
          <w:rFonts w:hint="eastAsia" w:ascii="宋体" w:hAnsi="宋体"/>
          <w:color w:val="000000" w:themeColor="text1"/>
          <w:sz w:val="28"/>
          <w:szCs w:val="28"/>
          <w14:textFill>
            <w14:solidFill>
              <w14:schemeClr w14:val="tx1"/>
            </w14:solidFill>
          </w14:textFill>
        </w:rPr>
        <w:t>下载的信用信息报告</w:t>
      </w:r>
      <w:r>
        <w:rPr>
          <w:rFonts w:ascii="宋体" w:hAnsi="宋体"/>
          <w:color w:val="000000" w:themeColor="text1"/>
          <w:sz w:val="28"/>
          <w:szCs w:val="28"/>
          <w14:textFill>
            <w14:solidFill>
              <w14:schemeClr w14:val="tx1"/>
            </w14:solidFill>
          </w14:textFill>
        </w:rPr>
        <w:t>）</w:t>
      </w:r>
    </w:p>
    <w:p w14:paraId="6AAEF8B2">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14:paraId="3CBD249D">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14:paraId="2A5ABCA4">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（八）</w:t>
      </w:r>
      <w:r>
        <w:rPr>
          <w:rFonts w:hint="eastAsia" w:ascii="宋体" w:hAnsi="宋体"/>
          <w:color w:val="000000" w:themeColor="text1"/>
          <w:sz w:val="28"/>
          <w:szCs w:val="28"/>
          <w14:textFill>
            <w14:solidFill>
              <w14:schemeClr w14:val="tx1"/>
            </w14:solidFill>
          </w14:textFill>
        </w:rPr>
        <w:t>本项目特殊资质要求</w:t>
      </w:r>
    </w:p>
    <w:p w14:paraId="75183073">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1、本项目不允许联合体参加（提供承诺函）。</w:t>
      </w:r>
    </w:p>
    <w:p w14:paraId="7D1C8093">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2、本项目不允许合同分包（提供承诺函）。</w:t>
      </w:r>
    </w:p>
    <w:p w14:paraId="4409A1C9">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w:t>
      </w:r>
      <w:r>
        <w:rPr>
          <w:rFonts w:ascii="宋体" w:hAnsi="宋体"/>
          <w:color w:val="000000" w:themeColor="text1"/>
          <w:sz w:val="28"/>
          <w:szCs w:val="28"/>
          <w14:textFill>
            <w14:solidFill>
              <w14:schemeClr w14:val="tx1"/>
            </w14:solidFill>
          </w14:textFill>
        </w:rPr>
        <w:t>其他类似效力要求：①法定代表人身份证明②法定代表人授权委托书③法人及</w:t>
      </w:r>
      <w:r>
        <w:rPr>
          <w:rFonts w:hint="eastAsia" w:ascii="宋体" w:hAnsi="宋体"/>
          <w:color w:val="000000" w:themeColor="text1"/>
          <w:sz w:val="28"/>
          <w:szCs w:val="28"/>
          <w14:textFill>
            <w14:solidFill>
              <w14:schemeClr w14:val="tx1"/>
            </w14:solidFill>
          </w14:textFill>
        </w:rPr>
        <w:t>被授权人</w:t>
      </w:r>
      <w:r>
        <w:rPr>
          <w:rFonts w:ascii="宋体" w:hAnsi="宋体"/>
          <w:color w:val="000000" w:themeColor="text1"/>
          <w:sz w:val="28"/>
          <w:szCs w:val="28"/>
          <w14:textFill>
            <w14:solidFill>
              <w14:schemeClr w14:val="tx1"/>
            </w14:solidFill>
          </w14:textFill>
        </w:rPr>
        <w:t>身份复印件</w:t>
      </w:r>
    </w:p>
    <w:p w14:paraId="00DA13CB">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38" w:name="_Toc20885"/>
      <w:bookmarkStart w:id="39" w:name="_Toc10296"/>
      <w:r>
        <w:rPr>
          <w:rFonts w:hint="eastAsia" w:ascii="黑体" w:hAnsi="黑体" w:eastAsia="黑体" w:cs="黑体"/>
          <w:b w:val="0"/>
          <w:bCs w:val="0"/>
          <w:sz w:val="28"/>
          <w:szCs w:val="28"/>
          <w:lang w:val="zh-CN"/>
        </w:rPr>
        <w:t>四、本项目比选评审方式：</w:t>
      </w:r>
      <w:r>
        <w:rPr>
          <w:rFonts w:hint="eastAsia" w:eastAsia="宋体" w:cs="Times New Roman" w:asciiTheme="minorEastAsia" w:hAnsiTheme="minorEastAsia"/>
          <w:b w:val="0"/>
          <w:bCs w:val="0"/>
          <w:color w:val="000000" w:themeColor="text1"/>
          <w:kern w:val="2"/>
          <w:sz w:val="28"/>
          <w:szCs w:val="28"/>
          <w:lang w:val="zh-CN" w:eastAsia="zh-CN" w:bidi="ar-SA"/>
          <w14:textFill>
            <w14:solidFill>
              <w14:schemeClr w14:val="tx1"/>
            </w14:solidFill>
          </w14:textFill>
        </w:rPr>
        <w:t>综合评分法。</w:t>
      </w:r>
      <w:bookmarkEnd w:id="38"/>
      <w:bookmarkEnd w:id="39"/>
    </w:p>
    <w:p w14:paraId="06D0FD82">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40" w:name="_Toc14354"/>
      <w:bookmarkStart w:id="41" w:name="_Toc5936"/>
      <w:r>
        <w:rPr>
          <w:rFonts w:hint="eastAsia" w:ascii="黑体" w:hAnsi="黑体" w:eastAsia="黑体" w:cs="黑体"/>
          <w:b w:val="0"/>
          <w:bCs w:val="0"/>
          <w:sz w:val="28"/>
          <w:szCs w:val="28"/>
          <w:lang w:val="zh-CN"/>
        </w:rPr>
        <w:t>五、比选文件的组成(若本文件未提供格式的可格式自拟)</w:t>
      </w:r>
      <w:bookmarkEnd w:id="40"/>
      <w:bookmarkEnd w:id="41"/>
    </w:p>
    <w:p w14:paraId="67789729">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（一）比选申请函</w:t>
      </w:r>
    </w:p>
    <w:p w14:paraId="4BD7D15E">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w:t>
      </w:r>
      <w:r>
        <w:rPr>
          <w:rFonts w:hint="eastAsia" w:ascii="宋体" w:hAnsi="宋体"/>
          <w:color w:val="000000" w:themeColor="text1"/>
          <w:sz w:val="28"/>
          <w:szCs w:val="28"/>
          <w14:textFill>
            <w14:solidFill>
              <w14:schemeClr w14:val="tx1"/>
            </w14:solidFill>
          </w14:textFill>
        </w:rPr>
        <w:t>承诺函</w:t>
      </w:r>
    </w:p>
    <w:p w14:paraId="7BA5DAE1">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（三）廉政承诺书</w:t>
      </w:r>
    </w:p>
    <w:p w14:paraId="496816CD">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（四）法定代表人身份证明</w:t>
      </w:r>
    </w:p>
    <w:p w14:paraId="5E8FFB6A">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（五）法定代表人授权委托书</w:t>
      </w:r>
    </w:p>
    <w:p w14:paraId="50DAB9EA">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六</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资格证明材料</w:t>
      </w:r>
    </w:p>
    <w:p w14:paraId="22DAD1D8">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七</w:t>
      </w:r>
      <w:r>
        <w:rPr>
          <w:rFonts w:ascii="宋体" w:hAnsi="宋体"/>
          <w:color w:val="000000" w:themeColor="text1"/>
          <w:sz w:val="28"/>
          <w:szCs w:val="28"/>
          <w14:textFill>
            <w14:solidFill>
              <w14:schemeClr w14:val="tx1"/>
            </w14:solidFill>
          </w14:textFill>
        </w:rPr>
        <w:t>）比选申请人基本情况表</w:t>
      </w:r>
    </w:p>
    <w:p w14:paraId="2C6C8C08">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八</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报价明细表</w:t>
      </w:r>
    </w:p>
    <w:p w14:paraId="470E6E98">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九</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服务要求应答表</w:t>
      </w:r>
    </w:p>
    <w:p w14:paraId="5A346954">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十</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商务应答表</w:t>
      </w:r>
    </w:p>
    <w:p w14:paraId="18A7FC1F">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十一</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比选申请人项目业绩</w:t>
      </w:r>
    </w:p>
    <w:p w14:paraId="68536E70">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十二</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项目方案</w:t>
      </w:r>
    </w:p>
    <w:p w14:paraId="7F9FD830">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（十三）</w:t>
      </w:r>
      <w:r>
        <w:rPr>
          <w:rFonts w:ascii="宋体" w:hAnsi="宋体"/>
          <w:color w:val="000000" w:themeColor="text1"/>
          <w:sz w:val="28"/>
          <w:szCs w:val="28"/>
          <w14:textFill>
            <w14:solidFill>
              <w14:schemeClr w14:val="tx1"/>
            </w14:solidFill>
          </w14:textFill>
        </w:rPr>
        <w:t>其它资料（若有）</w:t>
      </w:r>
    </w:p>
    <w:p w14:paraId="4F2E56E7">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注：比选申请人所提供的《比选申请文件》均须逐页加盖比选申请人公章，否则其《比选申请文件》将被视为无效。</w:t>
      </w:r>
    </w:p>
    <w:p w14:paraId="4B56FE3C">
      <w:pPr>
        <w:numPr>
          <w:ilvl w:val="0"/>
          <w:numId w:val="1"/>
        </w:numPr>
        <w:spacing w:line="580" w:lineRule="exact"/>
        <w:ind w:firstLine="560" w:firstLineChars="200"/>
        <w:rPr>
          <w:rFonts w:hint="eastAsia" w:ascii="黑体" w:hAnsi="黑体" w:eastAsia="黑体" w:cs="黑体"/>
          <w:b w:val="0"/>
          <w:bCs w:val="0"/>
          <w:kern w:val="2"/>
          <w:sz w:val="28"/>
          <w:szCs w:val="28"/>
          <w:lang w:val="zh-CN" w:eastAsia="zh-CN" w:bidi="ar-SA"/>
        </w:rPr>
      </w:pPr>
      <w:r>
        <w:rPr>
          <w:rFonts w:hint="eastAsia" w:ascii="黑体" w:hAnsi="黑体" w:eastAsia="黑体" w:cs="黑体"/>
          <w:b w:val="0"/>
          <w:bCs w:val="0"/>
          <w:kern w:val="2"/>
          <w:sz w:val="28"/>
          <w:szCs w:val="28"/>
          <w:lang w:val="zh-CN" w:eastAsia="zh-CN" w:bidi="ar-SA"/>
        </w:rPr>
        <w:t>比选申请文件有效期（实质性要求）</w:t>
      </w:r>
    </w:p>
    <w:p w14:paraId="122E5F4D">
      <w:pPr>
        <w:numPr>
          <w:ilvl w:val="0"/>
          <w:numId w:val="0"/>
        </w:num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从递交比选申请文件的截止日期起120日历天。</w:t>
      </w:r>
    </w:p>
    <w:p w14:paraId="24A8FCFF">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42" w:name="_Toc8464"/>
      <w:bookmarkStart w:id="43" w:name="_Toc123843528"/>
      <w:bookmarkStart w:id="44" w:name="_Toc23652"/>
      <w:r>
        <w:rPr>
          <w:rFonts w:hint="eastAsia" w:ascii="黑体" w:hAnsi="黑体" w:eastAsia="黑体" w:cs="黑体"/>
          <w:b w:val="0"/>
          <w:bCs w:val="0"/>
          <w:sz w:val="28"/>
          <w:szCs w:val="28"/>
          <w:lang w:val="zh-CN"/>
        </w:rPr>
        <w:t>七、比选申请文件的密封和递交</w:t>
      </w:r>
      <w:bookmarkEnd w:id="42"/>
      <w:bookmarkEnd w:id="43"/>
      <w:bookmarkEnd w:id="44"/>
    </w:p>
    <w:p w14:paraId="24A25FE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（一）比选申请文件的编制和签署</w:t>
      </w:r>
    </w:p>
    <w:p w14:paraId="26A93D1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1.比选申请文件壹份，并在其封面上清楚地标明比选申请文件、项目名称、比选申请人名称。</w:t>
      </w:r>
    </w:p>
    <w:p w14:paraId="3D73848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2.比选申请人所提供的《比选申请文件》均须逐页加盖比选申请人公章</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14:paraId="25605F8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3.比选申请文件的打印和书写应清楚工整，任何行间插字、涂改或增删，必须由比选申请人的法定代表人或其授权代表签字并盖比选申请人公章</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14:paraId="15B79C4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14:paraId="382BFC5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5.比选申请文件需要逐页编目编码。</w:t>
      </w:r>
    </w:p>
    <w:p w14:paraId="72DAF83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6.比选申请文件应当采用胶装方式装订成册，不得散装或者合页装订</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14:paraId="54BE5FE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（二）比选申请文件的密封和标注（不属于本项目评审范畴，由比选人在接收比选申请文件时及时处理）</w:t>
      </w:r>
    </w:p>
    <w:p w14:paraId="7CBEE50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 所有比选申请文件密封包装在一个密封袋内。</w:t>
      </w:r>
    </w:p>
    <w:p w14:paraId="250C138F">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 比选申请文件密封袋的最外层应清楚地标明项目名称、比选申请人名称。</w:t>
      </w:r>
    </w:p>
    <w:p w14:paraId="2FBD013D">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3.所有外层密封袋的封口处应粘贴牢固</w:t>
      </w:r>
      <w:r>
        <w:rPr>
          <w:rFonts w:hint="eastAsia" w:ascii="Times New Roman" w:hAnsi="Times New Roman" w:cs="Times New Roman"/>
          <w:color w:val="000000" w:themeColor="text1"/>
          <w:sz w:val="28"/>
          <w:szCs w:val="28"/>
          <w:lang w:eastAsia="zh-CN"/>
          <w14:textFill>
            <w14:solidFill>
              <w14:schemeClr w14:val="tx1"/>
            </w14:solidFill>
          </w14:textFill>
        </w:rPr>
        <w:t>并加盖公章</w:t>
      </w:r>
      <w:r>
        <w:rPr>
          <w:rFonts w:hint="default" w:ascii="Times New Roman" w:hAnsi="Times New Roman" w:cs="Times New Roman"/>
          <w:color w:val="000000" w:themeColor="text1"/>
          <w:sz w:val="28"/>
          <w:szCs w:val="28"/>
          <w14:textFill>
            <w14:solidFill>
              <w14:schemeClr w14:val="tx1"/>
            </w14:solidFill>
          </w14:textFill>
        </w:rPr>
        <w:t>。</w:t>
      </w:r>
    </w:p>
    <w:p w14:paraId="03F373F4">
      <w:pPr>
        <w:spacing w:line="580" w:lineRule="exact"/>
        <w:ind w:firstLine="560" w:firstLineChars="200"/>
        <w:rPr>
          <w:rFonts w:ascii="宋体" w:hAnsi="宋体"/>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4.未按以上要求进行密封和标注的比选申请文件，比选人将拒收或者在时间允许的范围内，要求修改完善后接收。</w:t>
      </w:r>
    </w:p>
    <w:p w14:paraId="143D847F">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（三）比选申请文件的递交</w:t>
      </w:r>
    </w:p>
    <w:p w14:paraId="5C3841DD">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比选申请文件由比选申请人</w:t>
      </w:r>
      <w:r>
        <w:rPr>
          <w:rFonts w:hint="eastAsia" w:ascii="宋体" w:hAnsi="宋体" w:cs="宋体"/>
          <w:sz w:val="28"/>
          <w:szCs w:val="28"/>
        </w:rPr>
        <w:t>在投标截止时间前送达（邮寄）至万源市中心医院招标采购管理办公室</w:t>
      </w:r>
      <w:r>
        <w:rPr>
          <w:rFonts w:ascii="宋体" w:hAnsi="宋体"/>
          <w:color w:val="000000" w:themeColor="text1"/>
          <w:sz w:val="28"/>
          <w:szCs w:val="28"/>
          <w14:textFill>
            <w14:solidFill>
              <w14:schemeClr w14:val="tx1"/>
            </w14:solidFill>
          </w14:textFill>
        </w:rPr>
        <w:t>；比选截止时间及地点按比选文件要求的时间和地址执行。</w:t>
      </w:r>
    </w:p>
    <w:p w14:paraId="129CD7D6">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45" w:name="_Toc8771"/>
      <w:bookmarkStart w:id="46" w:name="_Toc3273"/>
      <w:r>
        <w:rPr>
          <w:rFonts w:hint="eastAsia" w:ascii="黑体" w:hAnsi="黑体" w:eastAsia="黑体" w:cs="黑体"/>
          <w:b w:val="0"/>
          <w:bCs w:val="0"/>
          <w:sz w:val="28"/>
          <w:szCs w:val="28"/>
          <w:lang w:val="zh-CN"/>
        </w:rPr>
        <w:t>八、比选程序</w:t>
      </w:r>
      <w:bookmarkEnd w:id="45"/>
      <w:bookmarkEnd w:id="46"/>
    </w:p>
    <w:p w14:paraId="61C3EEAC">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（一）比选由比选人主持。</w:t>
      </w:r>
    </w:p>
    <w:p w14:paraId="6CD4F7E6">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（二）由</w:t>
      </w:r>
      <w:r>
        <w:rPr>
          <w:rFonts w:hint="eastAsia" w:ascii="宋体" w:hAnsi="宋体"/>
          <w:color w:val="000000" w:themeColor="text1"/>
          <w:sz w:val="28"/>
          <w:szCs w:val="28"/>
          <w14:textFill>
            <w14:solidFill>
              <w14:schemeClr w14:val="tx1"/>
            </w14:solidFill>
          </w14:textFill>
        </w:rPr>
        <w:t>现场监督人员</w:t>
      </w:r>
      <w:r>
        <w:rPr>
          <w:rFonts w:ascii="宋体" w:hAnsi="宋体"/>
          <w:color w:val="000000" w:themeColor="text1"/>
          <w:sz w:val="28"/>
          <w:szCs w:val="28"/>
          <w14:textFill>
            <w14:solidFill>
              <w14:schemeClr w14:val="tx1"/>
            </w14:solidFill>
          </w14:textFill>
        </w:rPr>
        <w:t>检查比选申请文件密封性并签字确认。</w:t>
      </w:r>
    </w:p>
    <w:p w14:paraId="4DC1DE84">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（三）比选人对比选过程进行记录，并存档备查。</w:t>
      </w:r>
    </w:p>
    <w:p w14:paraId="0B333EEE">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47" w:name="_Toc17540"/>
      <w:bookmarkStart w:id="48" w:name="_Toc18836"/>
      <w:r>
        <w:rPr>
          <w:rFonts w:hint="eastAsia" w:ascii="黑体" w:hAnsi="黑体" w:eastAsia="黑体" w:cs="黑体"/>
          <w:b w:val="0"/>
          <w:bCs w:val="0"/>
          <w:sz w:val="28"/>
          <w:szCs w:val="28"/>
          <w:lang w:val="zh-CN"/>
        </w:rPr>
        <w:t>九、评审办法参照本比选文件第三章内容。</w:t>
      </w:r>
      <w:bookmarkEnd w:id="47"/>
      <w:bookmarkEnd w:id="48"/>
    </w:p>
    <w:p w14:paraId="2B85CE55">
      <w:pPr>
        <w:spacing w:line="580" w:lineRule="exact"/>
        <w:ind w:firstLine="560" w:firstLineChars="200"/>
        <w:rPr>
          <w:rFonts w:ascii="Times New Roman" w:hAnsi="Times New Roman" w:eastAsia="仿宋"/>
          <w:color w:val="000000" w:themeColor="text1"/>
          <w:sz w:val="32"/>
          <w:szCs w:val="32"/>
          <w14:textFill>
            <w14:solidFill>
              <w14:schemeClr w14:val="tx1"/>
            </w14:solidFill>
          </w14:textFill>
        </w:rPr>
      </w:pPr>
      <w:r>
        <w:rPr>
          <w:rFonts w:hint="eastAsia" w:ascii="黑体" w:hAnsi="黑体" w:eastAsia="黑体" w:cs="黑体"/>
          <w:b w:val="0"/>
          <w:bCs w:val="0"/>
          <w:kern w:val="2"/>
          <w:sz w:val="28"/>
          <w:szCs w:val="28"/>
          <w:lang w:val="zh-CN" w:eastAsia="zh-CN" w:bidi="ar-SA"/>
        </w:rPr>
        <w:t>十、合同的授予：</w:t>
      </w:r>
      <w:r>
        <w:rPr>
          <w:rFonts w:ascii="宋体" w:hAnsi="宋体"/>
          <w:color w:val="000000" w:themeColor="text1"/>
          <w:sz w:val="28"/>
          <w:szCs w:val="28"/>
          <w14:textFill>
            <w14:solidFill>
              <w14:schemeClr w14:val="tx1"/>
            </w14:solidFill>
          </w14:textFill>
        </w:rPr>
        <w:t>本项目的采购合同将授予所确定的中选人。</w:t>
      </w:r>
    </w:p>
    <w:p w14:paraId="0DADC734">
      <w:pPr>
        <w:rPr>
          <w:rFonts w:ascii="Times New Roman" w:hAnsi="Times New Roman"/>
          <w:color w:val="000000" w:themeColor="text1"/>
          <w:sz w:val="24"/>
          <w14:textFill>
            <w14:solidFill>
              <w14:schemeClr w14:val="tx1"/>
            </w14:solidFill>
          </w14:textFill>
        </w:rPr>
      </w:pPr>
    </w:p>
    <w:p w14:paraId="298F9773">
      <w:pPr>
        <w:pStyle w:val="22"/>
        <w:spacing w:before="93" w:beforeLines="30" w:after="0" w:line="578" w:lineRule="exact"/>
        <w:rPr>
          <w:rFonts w:ascii="黑体" w:hAnsi="黑体" w:eastAsia="黑体" w:cs="黑体"/>
          <w:b w:val="0"/>
          <w:bCs w:val="0"/>
          <w:color w:val="000000"/>
          <w:lang w:val="zh-CN"/>
        </w:rPr>
      </w:pPr>
      <w:r>
        <w:rPr>
          <w:rFonts w:ascii="Times New Roman" w:hAnsi="Times New Roman" w:cs="Times New Roman"/>
          <w:sz w:val="24"/>
        </w:rPr>
        <w:br w:type="page"/>
      </w:r>
      <w:bookmarkStart w:id="49" w:name="_Toc29826"/>
      <w:bookmarkStart w:id="50" w:name="_Toc10194"/>
      <w:bookmarkStart w:id="51" w:name="_Toc19703"/>
      <w:bookmarkStart w:id="52" w:name="_Toc3016"/>
      <w:r>
        <w:rPr>
          <w:rFonts w:hint="eastAsia" w:ascii="方正小标宋简体" w:hAnsi="方正小标宋简体" w:eastAsia="方正小标宋简体" w:cs="方正小标宋简体"/>
          <w:b w:val="0"/>
          <w:bCs w:val="0"/>
        </w:rPr>
        <w:t>第三章 评审办法</w:t>
      </w:r>
      <w:bookmarkEnd w:id="49"/>
      <w:bookmarkEnd w:id="50"/>
      <w:bookmarkEnd w:id="51"/>
      <w:bookmarkEnd w:id="52"/>
    </w:p>
    <w:p w14:paraId="2218A994">
      <w:pPr>
        <w:pStyle w:val="9"/>
        <w:spacing w:before="93" w:beforeLines="30" w:after="0" w:line="578" w:lineRule="exact"/>
        <w:ind w:firstLine="640" w:firstLineChars="200"/>
        <w:rPr>
          <w:rFonts w:ascii="黑体" w:hAnsi="黑体" w:eastAsia="黑体" w:cs="黑体"/>
          <w:color w:val="000000"/>
          <w:sz w:val="32"/>
          <w:szCs w:val="32"/>
          <w:lang w:val="zh-CN"/>
        </w:rPr>
      </w:pPr>
    </w:p>
    <w:p w14:paraId="19EF8257">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53" w:name="_Toc11777"/>
      <w:bookmarkStart w:id="54" w:name="_Toc11477"/>
      <w:r>
        <w:rPr>
          <w:rFonts w:hint="eastAsia" w:ascii="黑体" w:hAnsi="黑体" w:eastAsia="黑体" w:cs="黑体"/>
          <w:b w:val="0"/>
          <w:bCs w:val="0"/>
          <w:sz w:val="28"/>
          <w:szCs w:val="28"/>
          <w:lang w:val="zh-CN"/>
        </w:rPr>
        <w:t>一、总则</w:t>
      </w:r>
      <w:bookmarkEnd w:id="53"/>
      <w:bookmarkEnd w:id="54"/>
    </w:p>
    <w:p w14:paraId="4618A785">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（一）比选小组在评审过程中，应当按照相关法律法规的规定履行职责和义务，不得违法评审、违反评审工作纪律。</w:t>
      </w:r>
    </w:p>
    <w:p w14:paraId="7E778AAB">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（二）评标组织</w:t>
      </w:r>
    </w:p>
    <w:p w14:paraId="116754A5">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1、本项目比选小组由采购人组织。</w:t>
      </w:r>
    </w:p>
    <w:p w14:paraId="0BB81763">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2、评标、决标全过程由监督代表监督。</w:t>
      </w:r>
    </w:p>
    <w:p w14:paraId="7DD9937C">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（三）比选工作应遵循公平、公正、科学及择优的原则，并以相同的比选程序和标准对待所有的供应商。</w:t>
      </w:r>
    </w:p>
    <w:p w14:paraId="39439722">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（四）比选小组按照比选文件规定的比选方法和标准进行比选，并独立履行下列职责：</w:t>
      </w:r>
    </w:p>
    <w:p w14:paraId="550A1E4B">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1、熟悉和理解比选文件，确定比选文件内容是否违反国家有关强制性规定或者比选文件存在歧义、重大缺陷；</w:t>
      </w:r>
    </w:p>
    <w:p w14:paraId="47531652">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2、审查供应商响应文件是否满足比选文件要求，并作出公正评价；</w:t>
      </w:r>
    </w:p>
    <w:p w14:paraId="7269B15B">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3、根据需要要求供应商对比选文件有关事项作出澄清、说明或者纠正；</w:t>
      </w:r>
    </w:p>
    <w:p w14:paraId="5B77CABA">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4、推荐成交供应商，或者受采购人委托确定成交供应商；</w:t>
      </w:r>
    </w:p>
    <w:p w14:paraId="12BC90FA">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5、起草评审报告并进行签署；</w:t>
      </w:r>
    </w:p>
    <w:p w14:paraId="0D7FBE90">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6、向采购人报告非法干预评审工作的行为；</w:t>
      </w:r>
    </w:p>
    <w:p w14:paraId="5A88D133">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7、法律、法规和规章规定的其他职责。</w:t>
      </w:r>
    </w:p>
    <w:p w14:paraId="3C513386">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（五）（实质性要求）比选过程独立、保密。供应商非法干预比选过程的，其响应文件作为无效处理。</w:t>
      </w:r>
    </w:p>
    <w:p w14:paraId="72C412F4">
      <w:pPr>
        <w:pStyle w:val="9"/>
        <w:pageBreakBefore w:val="0"/>
        <w:widowControl w:val="0"/>
        <w:kinsoku/>
        <w:wordWrap/>
        <w:overflowPunct/>
        <w:topLinePunct w:val="0"/>
        <w:autoSpaceDE/>
        <w:autoSpaceDN/>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（六）比选小组评价响应文件，除比选小组要求其澄清、说明或者纠正而提供的资料外，仅依据响应文件本身的内容，不寻求供应商提供其他外部证据。</w:t>
      </w:r>
    </w:p>
    <w:p w14:paraId="5E59D771">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55" w:name="_Toc15324"/>
      <w:bookmarkStart w:id="56" w:name="_Toc26036"/>
      <w:r>
        <w:rPr>
          <w:rFonts w:hint="eastAsia" w:ascii="黑体" w:hAnsi="黑体" w:eastAsia="黑体" w:cs="黑体"/>
          <w:b w:val="0"/>
          <w:bCs w:val="0"/>
          <w:sz w:val="28"/>
          <w:szCs w:val="28"/>
          <w:lang w:val="zh-CN"/>
        </w:rPr>
        <w:t>二、评审程序</w:t>
      </w:r>
      <w:bookmarkEnd w:id="55"/>
      <w:bookmarkEnd w:id="56"/>
    </w:p>
    <w:p w14:paraId="6785C057">
      <w:pPr>
        <w:pStyle w:val="9"/>
        <w:pageBreakBefore w:val="0"/>
        <w:widowControl w:val="0"/>
        <w:kinsoku/>
        <w:wordWrap/>
        <w:overflowPunct/>
        <w:topLinePunct w:val="0"/>
        <w:autoSpaceDE/>
        <w:autoSpaceDN/>
        <w:bidi w:val="0"/>
        <w:adjustRightInd/>
        <w:snapToGrid/>
        <w:spacing w:after="0" w:line="578" w:lineRule="exact"/>
        <w:ind w:firstLine="562" w:firstLineChars="200"/>
        <w:textAlignment w:val="auto"/>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（一）熟悉和理解比选文件和停止评审</w:t>
      </w:r>
    </w:p>
    <w:p w14:paraId="6CA35DA6">
      <w:pPr>
        <w:pStyle w:val="9"/>
        <w:pageBreakBefore w:val="0"/>
        <w:widowControl w:val="0"/>
        <w:kinsoku/>
        <w:wordWrap/>
        <w:overflowPunct/>
        <w:topLinePunct w:val="0"/>
        <w:autoSpaceDE/>
        <w:autoSpaceDN/>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1.比选小组正式评审前，应当对比选文件进行熟悉和理解，内容主要包括比选文件中供应商资格条件要求、采购项目技术、服务和商务要求、评审方法和标准、采购政策要求等。</w:t>
      </w:r>
    </w:p>
    <w:p w14:paraId="60AF6E59">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2.本比选文件有下列情形之一的，比选小组应当停止评审：</w:t>
      </w:r>
    </w:p>
    <w:p w14:paraId="330F667D">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rPr>
        <w:t>（1）</w:t>
      </w:r>
      <w:r>
        <w:rPr>
          <w:rFonts w:hint="eastAsia" w:asciiTheme="minorEastAsia" w:hAnsiTheme="minorEastAsia" w:eastAsiaTheme="minorEastAsia" w:cstheme="minorEastAsia"/>
          <w:color w:val="000000"/>
          <w:sz w:val="28"/>
          <w:szCs w:val="28"/>
        </w:rPr>
        <w:t>比选文件的规定存在歧义、重大缺陷的；</w:t>
      </w:r>
    </w:p>
    <w:p w14:paraId="1BF8F9C1">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rPr>
        <w:t>（2）</w:t>
      </w:r>
      <w:r>
        <w:rPr>
          <w:rFonts w:hint="eastAsia" w:asciiTheme="minorEastAsia" w:hAnsiTheme="minorEastAsia" w:eastAsiaTheme="minorEastAsia" w:cstheme="minorEastAsia"/>
          <w:color w:val="000000"/>
          <w:sz w:val="28"/>
          <w:szCs w:val="28"/>
        </w:rPr>
        <w:t>比选文件明显以不合理条件对供应商实行差别待遇或者歧视待遇的；</w:t>
      </w:r>
    </w:p>
    <w:p w14:paraId="1F251706">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rPr>
        <w:t>（3）</w:t>
      </w:r>
      <w:r>
        <w:rPr>
          <w:rFonts w:hint="eastAsia" w:asciiTheme="minorEastAsia" w:hAnsiTheme="minorEastAsia" w:eastAsiaTheme="minorEastAsia" w:cstheme="minorEastAsia"/>
          <w:color w:val="000000"/>
          <w:sz w:val="28"/>
          <w:szCs w:val="28"/>
        </w:rPr>
        <w:t>比选文件载明的成交原则不合法的；</w:t>
      </w:r>
    </w:p>
    <w:p w14:paraId="310015B4">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rPr>
        <w:t>（4）</w:t>
      </w:r>
      <w:r>
        <w:rPr>
          <w:rFonts w:hint="eastAsia" w:asciiTheme="minorEastAsia" w:hAnsiTheme="minorEastAsia" w:eastAsiaTheme="minorEastAsia" w:cstheme="minorEastAsia"/>
          <w:color w:val="000000"/>
          <w:sz w:val="28"/>
          <w:szCs w:val="28"/>
        </w:rPr>
        <w:t>比选文件有违反国家其他有关强制性规定的情形。</w:t>
      </w:r>
    </w:p>
    <w:p w14:paraId="7A5592EC">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3.出现上述第2条规定应当停止评审情形的，比选小组应当向采购人书面说明情况。除本条规定的情形外，比选小组不得以任何方式和理由停止评审。</w:t>
      </w:r>
    </w:p>
    <w:p w14:paraId="4D6F09CD">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4.比选小组不得以下列情形对供应商响应文件作无效处理：</w:t>
      </w:r>
    </w:p>
    <w:p w14:paraId="4B82AF3E">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（1）响应文件装订、纸张、文件排序、编目编码等非实质性的格式、形式问题。</w:t>
      </w:r>
    </w:p>
    <w:p w14:paraId="455CA832">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（2）供应商响应文件格式不符合采购文件所述的响应文件格式要求。</w:t>
      </w:r>
    </w:p>
    <w:p w14:paraId="2527BD43">
      <w:pPr>
        <w:pStyle w:val="9"/>
        <w:spacing w:before="93" w:beforeLines="30" w:after="0" w:line="578" w:lineRule="exact"/>
        <w:ind w:firstLine="562" w:firstLineChars="200"/>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（二）资格性审查</w:t>
      </w:r>
    </w:p>
    <w:p w14:paraId="1559AB2B">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1.比选小组应依据法律法规和比选文件的规定，对响应文件是否按照规定要求提供资格性证明材料、是否属于禁止参加比选的供应商等进行审查，以确定供应商是否具备比选资格。</w:t>
      </w:r>
    </w:p>
    <w:p w14:paraId="14EB4F00">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2.资格性审查结束后，比选小组应当出具资格性审查报告，没有通过资格审查的供应商，比选小组应当在资格审查报告中说明原因。</w:t>
      </w:r>
    </w:p>
    <w:p w14:paraId="14B51F6D">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3.比选小组应依据比选文件规定的所有实质性要求，对符合资格的响应文件进行有效性、完整性和响应程度审查，以确定参加比选的供应商名单。</w:t>
      </w:r>
    </w:p>
    <w:p w14:paraId="7C55495E">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4.未通过资格性审查的供应商或其响应文件有效性、完整性和响应不符合的，比选小组应填写供应商淘汰表，写明未通过的原因，并由供应商签字确认，供应商拒绝签字的，比选小组应注明情况并经监督人员签字确认。</w:t>
      </w:r>
    </w:p>
    <w:p w14:paraId="1B4875BC">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5.通过资格性审查和符合性响应审查的供应商不足 3 家的，终止本次采购活动，并发布终止采购活动公告。</w:t>
      </w:r>
    </w:p>
    <w:p w14:paraId="27FBB623">
      <w:pPr>
        <w:pStyle w:val="9"/>
        <w:spacing w:before="93" w:beforeLines="30" w:after="0" w:line="578"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供应商资格性审查表</w:t>
      </w:r>
    </w:p>
    <w:tbl>
      <w:tblPr>
        <w:tblStyle w:val="23"/>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5525"/>
        <w:gridCol w:w="2425"/>
      </w:tblGrid>
      <w:tr w14:paraId="16D80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34" w:type="dxa"/>
            <w:vAlign w:val="center"/>
          </w:tcPr>
          <w:p w14:paraId="688F48B1">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序号</w:t>
            </w:r>
          </w:p>
        </w:tc>
        <w:tc>
          <w:tcPr>
            <w:tcW w:w="5525" w:type="dxa"/>
            <w:vAlign w:val="center"/>
          </w:tcPr>
          <w:p w14:paraId="25E90395">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审查内容</w:t>
            </w:r>
          </w:p>
        </w:tc>
        <w:tc>
          <w:tcPr>
            <w:tcW w:w="2425" w:type="dxa"/>
            <w:vAlign w:val="center"/>
          </w:tcPr>
          <w:p w14:paraId="3FCB025C">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审核结果</w:t>
            </w:r>
          </w:p>
        </w:tc>
      </w:tr>
      <w:tr w14:paraId="07498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34" w:type="dxa"/>
            <w:vAlign w:val="center"/>
          </w:tcPr>
          <w:p w14:paraId="0FA5F115">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w:t>
            </w:r>
          </w:p>
        </w:tc>
        <w:tc>
          <w:tcPr>
            <w:tcW w:w="5525" w:type="dxa"/>
            <w:vAlign w:val="center"/>
          </w:tcPr>
          <w:p w14:paraId="563BADBB">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是否是在中华人民共和国境内注册，具有独立承担民事责任能力的机构。</w:t>
            </w:r>
          </w:p>
        </w:tc>
        <w:tc>
          <w:tcPr>
            <w:tcW w:w="2425" w:type="dxa"/>
            <w:vAlign w:val="center"/>
          </w:tcPr>
          <w:p w14:paraId="387CE9DB">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6517D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34" w:type="dxa"/>
            <w:vAlign w:val="center"/>
          </w:tcPr>
          <w:p w14:paraId="25C81326">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w:t>
            </w:r>
          </w:p>
        </w:tc>
        <w:tc>
          <w:tcPr>
            <w:tcW w:w="5525" w:type="dxa"/>
            <w:vAlign w:val="center"/>
          </w:tcPr>
          <w:p w14:paraId="247D2036">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是否具有良好的商业信誉和健全的财务会计制度。</w:t>
            </w:r>
          </w:p>
        </w:tc>
        <w:tc>
          <w:tcPr>
            <w:tcW w:w="2425" w:type="dxa"/>
            <w:vAlign w:val="center"/>
          </w:tcPr>
          <w:p w14:paraId="131C5010">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67C94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34" w:type="dxa"/>
            <w:vAlign w:val="center"/>
          </w:tcPr>
          <w:p w14:paraId="0E49A3CC">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3</w:t>
            </w:r>
          </w:p>
        </w:tc>
        <w:tc>
          <w:tcPr>
            <w:tcW w:w="5525" w:type="dxa"/>
            <w:vAlign w:val="center"/>
          </w:tcPr>
          <w:p w14:paraId="2505B800">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是否具有履行合同所必须的设备和专业技术能力。</w:t>
            </w:r>
          </w:p>
        </w:tc>
        <w:tc>
          <w:tcPr>
            <w:tcW w:w="2425" w:type="dxa"/>
            <w:vAlign w:val="center"/>
          </w:tcPr>
          <w:p w14:paraId="6492421A">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53DB0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34" w:type="dxa"/>
            <w:vAlign w:val="center"/>
          </w:tcPr>
          <w:p w14:paraId="545901DC">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4</w:t>
            </w:r>
          </w:p>
        </w:tc>
        <w:tc>
          <w:tcPr>
            <w:tcW w:w="5525" w:type="dxa"/>
            <w:vAlign w:val="center"/>
          </w:tcPr>
          <w:p w14:paraId="1DD65CBB">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是否具有依法缴纳税收和社会保障资金的良好记录。</w:t>
            </w:r>
          </w:p>
        </w:tc>
        <w:tc>
          <w:tcPr>
            <w:tcW w:w="2425" w:type="dxa"/>
            <w:vAlign w:val="center"/>
          </w:tcPr>
          <w:p w14:paraId="7B940D40">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5A0B4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34" w:type="dxa"/>
            <w:vAlign w:val="center"/>
          </w:tcPr>
          <w:p w14:paraId="74E63919">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5</w:t>
            </w:r>
          </w:p>
        </w:tc>
        <w:tc>
          <w:tcPr>
            <w:tcW w:w="5525" w:type="dxa"/>
            <w:vAlign w:val="center"/>
          </w:tcPr>
          <w:p w14:paraId="21B74539">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是否参加本次比选活动前三年内，在经营活动中没有重大违法违规记录。</w:t>
            </w:r>
          </w:p>
        </w:tc>
        <w:tc>
          <w:tcPr>
            <w:tcW w:w="2425" w:type="dxa"/>
            <w:vAlign w:val="center"/>
          </w:tcPr>
          <w:p w14:paraId="63BF364E">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77C55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34" w:type="dxa"/>
            <w:vAlign w:val="center"/>
          </w:tcPr>
          <w:p w14:paraId="08A0679B">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6</w:t>
            </w:r>
          </w:p>
        </w:tc>
        <w:tc>
          <w:tcPr>
            <w:tcW w:w="5525" w:type="dxa"/>
            <w:vAlign w:val="center"/>
          </w:tcPr>
          <w:p w14:paraId="367A5B49">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是否存在与单位负责人为同一人或者存在直接控股、管理关系的其他供应商参与同一合同项下的采购活动的行为。</w:t>
            </w:r>
          </w:p>
        </w:tc>
        <w:tc>
          <w:tcPr>
            <w:tcW w:w="2425" w:type="dxa"/>
            <w:vAlign w:val="center"/>
          </w:tcPr>
          <w:p w14:paraId="33FB920C">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35CC0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34" w:type="dxa"/>
            <w:vAlign w:val="center"/>
          </w:tcPr>
          <w:p w14:paraId="02205383">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7</w:t>
            </w:r>
          </w:p>
        </w:tc>
        <w:tc>
          <w:tcPr>
            <w:tcW w:w="5525" w:type="dxa"/>
            <w:vAlign w:val="center"/>
          </w:tcPr>
          <w:p w14:paraId="40D330BB">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是否存在和其他供应商在同一合同项下的采购项目中，同时委托同一个自然人、同一家庭的人员、同一单位的人员作为代理人的行为。</w:t>
            </w:r>
          </w:p>
        </w:tc>
        <w:tc>
          <w:tcPr>
            <w:tcW w:w="2425" w:type="dxa"/>
            <w:vAlign w:val="center"/>
          </w:tcPr>
          <w:p w14:paraId="7A950B33">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43916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34" w:type="dxa"/>
            <w:vAlign w:val="center"/>
          </w:tcPr>
          <w:p w14:paraId="5E9CA9C0">
            <w:pPr>
              <w:spacing w:before="93" w:beforeLines="30" w:line="440" w:lineRule="exact"/>
              <w:jc w:val="center"/>
              <w:rPr>
                <w:rFonts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000000"/>
                <w:sz w:val="28"/>
                <w:szCs w:val="28"/>
              </w:rPr>
              <w:t>8</w:t>
            </w:r>
          </w:p>
        </w:tc>
        <w:tc>
          <w:tcPr>
            <w:tcW w:w="5525" w:type="dxa"/>
            <w:vAlign w:val="center"/>
          </w:tcPr>
          <w:p w14:paraId="25B79BDB">
            <w:pPr>
              <w:spacing w:before="93" w:beforeLines="30" w:line="440" w:lineRule="exact"/>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特殊资格要求：</w:t>
            </w:r>
          </w:p>
          <w:p w14:paraId="3E3984FD">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1、本项目不允许联合体参加（提供承诺函）。</w:t>
            </w:r>
          </w:p>
          <w:p w14:paraId="05189652">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2、本项目不允许合同分包（提供承诺函）。</w:t>
            </w:r>
          </w:p>
        </w:tc>
        <w:tc>
          <w:tcPr>
            <w:tcW w:w="2425" w:type="dxa"/>
            <w:vAlign w:val="center"/>
          </w:tcPr>
          <w:p w14:paraId="3592F8A5">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5CE13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34" w:type="dxa"/>
            <w:vAlign w:val="center"/>
          </w:tcPr>
          <w:p w14:paraId="3D0DD9AE">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9</w:t>
            </w:r>
          </w:p>
        </w:tc>
        <w:tc>
          <w:tcPr>
            <w:tcW w:w="5525" w:type="dxa"/>
            <w:vAlign w:val="center"/>
          </w:tcPr>
          <w:p w14:paraId="440CACE6">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其他类似效力要求：</w:t>
            </w:r>
          </w:p>
          <w:p w14:paraId="6E08F352">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1.法定代表人身份证明；</w:t>
            </w:r>
          </w:p>
          <w:p w14:paraId="4BBDF9D9">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2.法定代表人授权委托书；</w:t>
            </w:r>
          </w:p>
          <w:p w14:paraId="7E09B8ED">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3.法人及经办人身份复印件。</w:t>
            </w:r>
          </w:p>
        </w:tc>
        <w:tc>
          <w:tcPr>
            <w:tcW w:w="2425" w:type="dxa"/>
            <w:vAlign w:val="center"/>
          </w:tcPr>
          <w:p w14:paraId="070468F9">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42627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6359" w:type="dxa"/>
            <w:gridSpan w:val="2"/>
            <w:vAlign w:val="center"/>
          </w:tcPr>
          <w:p w14:paraId="31FED521">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审查结论</w:t>
            </w:r>
          </w:p>
        </w:tc>
        <w:tc>
          <w:tcPr>
            <w:tcW w:w="2425" w:type="dxa"/>
            <w:vAlign w:val="center"/>
          </w:tcPr>
          <w:p w14:paraId="0D911779">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bl>
    <w:p w14:paraId="00C83A17">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响应文件满足以上符合性审查要求的，则通过资格审查；如有任意一项未满足资格审查要求的，则按无效响应处理，并在比选报告中载明未通过资格审查的具体原因。</w:t>
      </w:r>
    </w:p>
    <w:p w14:paraId="6A087326">
      <w:pPr>
        <w:pStyle w:val="9"/>
        <w:spacing w:before="93" w:beforeLines="30" w:after="0" w:line="578" w:lineRule="exact"/>
        <w:ind w:firstLine="562" w:firstLineChars="200"/>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（三）符合性审查</w:t>
      </w:r>
    </w:p>
    <w:p w14:paraId="36A9117D">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1.比选开始前，比选小组对供应商首次提交的响应文件（包括报价）进行审查，审查内容为比选文件不允许实质性变动的实质性要求，不符合实质性要求或应当作无效响应处理的，作无效响应处理。</w:t>
      </w:r>
    </w:p>
    <w:p w14:paraId="397277AE">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2.比选小组应对供应商已标价清单进行算术性复核，如果出现下列不一致的，按以下原则进行修正：</w:t>
      </w:r>
    </w:p>
    <w:p w14:paraId="4091E9A6">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（1）报价大写金额和小写金额不一致的，以大写金额为准。但大写金额文字存在错误的，应当先对大写金额的文字错误进行澄清、说明或者更正，再行修正。</w:t>
      </w:r>
    </w:p>
    <w:p w14:paraId="2809F36E">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（2）总价金额与依据单价计算出的结果不一致的，以单价为准修正总价，但单价小数点有明显错误的除外。</w:t>
      </w:r>
    </w:p>
    <w:p w14:paraId="560AE343">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修正后的报价经供应商确认后产生约束力，供应商不确认的，其响应文件作为无效处理。供应商确认采取书面方式并经供应商授权代表签字。比选小组不得未经书面形式要求供应商确认，直接将供应商响应文件作为无效处理。</w:t>
      </w:r>
    </w:p>
    <w:p w14:paraId="6E7D60D5">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（3）在符合性审查过程中，如果出现比选小组成员意见不一致的情况，按照少数服从多数的原则确定，但不得违背政府采购基本原则和比选文件规定。</w:t>
      </w:r>
    </w:p>
    <w:p w14:paraId="64C1A2D5">
      <w:pPr>
        <w:pStyle w:val="9"/>
        <w:spacing w:before="93" w:beforeLines="30" w:after="0" w:line="578"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符合性审查表</w:t>
      </w:r>
    </w:p>
    <w:tbl>
      <w:tblPr>
        <w:tblStyle w:val="2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44"/>
        <w:gridCol w:w="4619"/>
        <w:gridCol w:w="2859"/>
      </w:tblGrid>
      <w:tr w14:paraId="76E9B2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6A47C185">
            <w:pPr>
              <w:pStyle w:val="39"/>
              <w:tabs>
                <w:tab w:val="left" w:pos="1980"/>
              </w:tabs>
              <w:autoSpaceDE w:val="0"/>
              <w:autoSpaceDN w:val="0"/>
              <w:spacing w:before="93" w:beforeLines="30" w:line="440" w:lineRule="exact"/>
              <w:ind w:firstLine="0" w:firstLineChars="0"/>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序号</w:t>
            </w:r>
          </w:p>
        </w:tc>
        <w:tc>
          <w:tcPr>
            <w:tcW w:w="4893" w:type="dxa"/>
            <w:vAlign w:val="center"/>
          </w:tcPr>
          <w:p w14:paraId="2B80ABE5">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符合性审查内容</w:t>
            </w:r>
          </w:p>
        </w:tc>
        <w:tc>
          <w:tcPr>
            <w:tcW w:w="3000" w:type="dxa"/>
            <w:vAlign w:val="center"/>
          </w:tcPr>
          <w:p w14:paraId="6BD5FF5C">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审核结果</w:t>
            </w:r>
          </w:p>
        </w:tc>
      </w:tr>
      <w:tr w14:paraId="2030CC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634D5A2D">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1</w:t>
            </w:r>
          </w:p>
        </w:tc>
        <w:tc>
          <w:tcPr>
            <w:tcW w:w="4893" w:type="dxa"/>
            <w:vAlign w:val="center"/>
          </w:tcPr>
          <w:p w14:paraId="169A3E10">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供应商基本信息表</w:t>
            </w:r>
          </w:p>
        </w:tc>
        <w:tc>
          <w:tcPr>
            <w:tcW w:w="3000" w:type="dxa"/>
            <w:vAlign w:val="center"/>
          </w:tcPr>
          <w:p w14:paraId="4BDD8CA9">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478AA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06128C27">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2</w:t>
            </w:r>
          </w:p>
        </w:tc>
        <w:tc>
          <w:tcPr>
            <w:tcW w:w="4893" w:type="dxa"/>
            <w:vAlign w:val="center"/>
          </w:tcPr>
          <w:p w14:paraId="698E81F1">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报价表</w:t>
            </w:r>
          </w:p>
        </w:tc>
        <w:tc>
          <w:tcPr>
            <w:tcW w:w="3000" w:type="dxa"/>
            <w:vAlign w:val="center"/>
          </w:tcPr>
          <w:p w14:paraId="09DB67B2">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4D5EDE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72B1536C">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3</w:t>
            </w:r>
          </w:p>
        </w:tc>
        <w:tc>
          <w:tcPr>
            <w:tcW w:w="4893" w:type="dxa"/>
            <w:vAlign w:val="center"/>
          </w:tcPr>
          <w:p w14:paraId="5266113F">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服务要求应答表</w:t>
            </w:r>
          </w:p>
        </w:tc>
        <w:tc>
          <w:tcPr>
            <w:tcW w:w="3000" w:type="dxa"/>
            <w:vAlign w:val="center"/>
          </w:tcPr>
          <w:p w14:paraId="6AEB4E39">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62AEA8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6EC5C954">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4</w:t>
            </w:r>
          </w:p>
        </w:tc>
        <w:tc>
          <w:tcPr>
            <w:tcW w:w="4893" w:type="dxa"/>
            <w:vAlign w:val="center"/>
          </w:tcPr>
          <w:p w14:paraId="6A398DB0">
            <w:pPr>
              <w:pStyle w:val="39"/>
              <w:tabs>
                <w:tab w:val="left" w:pos="1980"/>
              </w:tabs>
              <w:autoSpaceDE w:val="0"/>
              <w:autoSpaceDN w:val="0"/>
              <w:spacing w:before="93" w:beforeLines="30" w:line="440" w:lineRule="exact"/>
              <w:ind w:firstLine="0" w:firstLineChars="0"/>
              <w:jc w:val="center"/>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商务要求应答表</w:t>
            </w:r>
          </w:p>
        </w:tc>
        <w:tc>
          <w:tcPr>
            <w:tcW w:w="3000" w:type="dxa"/>
            <w:vAlign w:val="center"/>
          </w:tcPr>
          <w:p w14:paraId="5CF8B47E">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00A402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7" w:hRule="atLeast"/>
        </w:trPr>
        <w:tc>
          <w:tcPr>
            <w:tcW w:w="1081" w:type="dxa"/>
            <w:vAlign w:val="center"/>
          </w:tcPr>
          <w:p w14:paraId="0A0DE7F8">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5</w:t>
            </w:r>
          </w:p>
        </w:tc>
        <w:tc>
          <w:tcPr>
            <w:tcW w:w="4893" w:type="dxa"/>
            <w:vAlign w:val="center"/>
          </w:tcPr>
          <w:p w14:paraId="28452408">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文件签署和盖章</w:t>
            </w:r>
          </w:p>
        </w:tc>
        <w:tc>
          <w:tcPr>
            <w:tcW w:w="3000" w:type="dxa"/>
            <w:vAlign w:val="center"/>
          </w:tcPr>
          <w:p w14:paraId="6A6E364D">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3EA4AA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vAlign w:val="center"/>
          </w:tcPr>
          <w:p w14:paraId="724F6197">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6</w:t>
            </w:r>
          </w:p>
        </w:tc>
        <w:tc>
          <w:tcPr>
            <w:tcW w:w="4893" w:type="dxa"/>
            <w:vAlign w:val="center"/>
          </w:tcPr>
          <w:p w14:paraId="4589E7CF">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比选文件的其他要求</w:t>
            </w:r>
          </w:p>
        </w:tc>
        <w:tc>
          <w:tcPr>
            <w:tcW w:w="3000" w:type="dxa"/>
            <w:vAlign w:val="center"/>
          </w:tcPr>
          <w:p w14:paraId="6D650D38">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r w14:paraId="65E552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4" w:type="dxa"/>
            <w:gridSpan w:val="2"/>
            <w:vAlign w:val="center"/>
          </w:tcPr>
          <w:p w14:paraId="03960351">
            <w:pPr>
              <w:spacing w:before="93" w:beforeLines="30" w:line="440" w:lineRule="exact"/>
              <w:jc w:val="center"/>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审查结论</w:t>
            </w:r>
          </w:p>
        </w:tc>
        <w:tc>
          <w:tcPr>
            <w:tcW w:w="3000" w:type="dxa"/>
            <w:vAlign w:val="center"/>
          </w:tcPr>
          <w:p w14:paraId="5D7736DA">
            <w:pPr>
              <w:spacing w:before="93" w:beforeLines="30" w:line="440" w:lineRule="exac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sym w:font="Wingdings 2" w:char="00A3"/>
            </w:r>
            <w:r>
              <w:rPr>
                <w:rFonts w:hint="eastAsia" w:asciiTheme="minorEastAsia" w:hAnsiTheme="minorEastAsia" w:eastAsiaTheme="minorEastAsia" w:cstheme="minorEastAsia"/>
                <w:color w:val="000000"/>
                <w:sz w:val="28"/>
                <w:szCs w:val="28"/>
              </w:rPr>
              <w:t>通过  □不通过</w:t>
            </w:r>
          </w:p>
        </w:tc>
      </w:tr>
    </w:tbl>
    <w:p w14:paraId="4BEB8C2E">
      <w:pPr>
        <w:pStyle w:val="9"/>
        <w:spacing w:before="93" w:beforeLines="30" w:after="0" w:line="578" w:lineRule="exact"/>
        <w:ind w:firstLine="560" w:firstLineChars="200"/>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响应文件满足以上符合性审查要求的，则通过符合性审查；如有任意一项未满足符合性审查要求的，则按无效响应处理，并在比选报告中载明未通过符合性审查的具体原因。</w:t>
      </w:r>
    </w:p>
    <w:p w14:paraId="3D697646">
      <w:pPr>
        <w:pStyle w:val="9"/>
        <w:spacing w:before="93" w:beforeLines="30" w:after="0" w:line="578" w:lineRule="exact"/>
        <w:ind w:firstLine="562" w:firstLineChars="200"/>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（四）比选</w:t>
      </w:r>
    </w:p>
    <w:p w14:paraId="24EBD5AC">
      <w:pPr>
        <w:pStyle w:val="9"/>
        <w:spacing w:before="93" w:beforeLines="30" w:after="0" w:line="578" w:lineRule="exact"/>
        <w:ind w:firstLine="560" w:firstLineChars="200"/>
        <w:rPr>
          <w:rFonts w:ascii="宋体" w:hAnsi="宋体" w:cs="宋体"/>
          <w:color w:val="000000"/>
          <w:sz w:val="32"/>
          <w:szCs w:val="32"/>
        </w:rPr>
      </w:pPr>
      <w:r>
        <w:rPr>
          <w:rFonts w:hint="eastAsia" w:asciiTheme="minorEastAsia" w:hAnsiTheme="minorEastAsia" w:eastAsiaTheme="minorEastAsia" w:cstheme="minorEastAsia"/>
          <w:color w:val="000000"/>
          <w:sz w:val="28"/>
          <w:szCs w:val="28"/>
        </w:rPr>
        <w:t>比选小组对通过资格审查和复合性审查的供应商按照详细评分标准进行综合评分。</w:t>
      </w:r>
    </w:p>
    <w:p w14:paraId="69C20BF8">
      <w:pPr>
        <w:pStyle w:val="9"/>
        <w:spacing w:before="93" w:beforeLines="30" w:after="0" w:line="578" w:lineRule="exact"/>
        <w:jc w:val="center"/>
        <w:rPr>
          <w:rFonts w:ascii="黑体" w:hAnsi="黑体" w:eastAsia="黑体" w:cs="黑体"/>
          <w:color w:val="000000"/>
          <w:sz w:val="36"/>
          <w:szCs w:val="36"/>
        </w:rPr>
      </w:pPr>
      <w:r>
        <w:rPr>
          <w:rFonts w:hint="eastAsia" w:ascii="黑体" w:hAnsi="黑体" w:eastAsia="黑体" w:cs="黑体"/>
          <w:color w:val="000000"/>
          <w:sz w:val="36"/>
          <w:szCs w:val="36"/>
        </w:rPr>
        <w:t>详细评分标准</w:t>
      </w:r>
    </w:p>
    <w:tbl>
      <w:tblPr>
        <w:tblStyle w:val="57"/>
        <w:tblW w:w="937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72"/>
        <w:gridCol w:w="1019"/>
        <w:gridCol w:w="850"/>
        <w:gridCol w:w="5112"/>
        <w:gridCol w:w="963"/>
        <w:gridCol w:w="854"/>
      </w:tblGrid>
      <w:tr w14:paraId="61F6EC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572" w:type="dxa"/>
            <w:textDirection w:val="tbRlV"/>
            <w:vAlign w:val="center"/>
          </w:tcPr>
          <w:p w14:paraId="25782D0D">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7" w:firstLineChars="20"/>
              <w:jc w:val="center"/>
              <w:textAlignment w:val="auto"/>
            </w:pPr>
            <w:r>
              <w:rPr>
                <w:b/>
                <w:bCs/>
                <w:spacing w:val="-3"/>
              </w:rPr>
              <w:t>序号</w:t>
            </w:r>
          </w:p>
        </w:tc>
        <w:tc>
          <w:tcPr>
            <w:tcW w:w="1019" w:type="dxa"/>
            <w:vAlign w:val="center"/>
          </w:tcPr>
          <w:p w14:paraId="5CA8C382">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center"/>
              <w:textAlignment w:val="auto"/>
              <w:rPr>
                <w:b/>
                <w:bCs/>
                <w:spacing w:val="-5"/>
              </w:rPr>
            </w:pPr>
            <w:r>
              <w:rPr>
                <w:b/>
                <w:bCs/>
                <w:spacing w:val="-5"/>
              </w:rPr>
              <w:t>评分</w:t>
            </w:r>
          </w:p>
          <w:p w14:paraId="3EFF07BE">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center"/>
              <w:textAlignment w:val="auto"/>
            </w:pPr>
            <w:r>
              <w:rPr>
                <w:b/>
                <w:bCs/>
                <w:spacing w:val="-5"/>
              </w:rPr>
              <w:t>因</w:t>
            </w:r>
            <w:r>
              <w:rPr>
                <w:b/>
                <w:bCs/>
                <w:spacing w:val="-3"/>
              </w:rPr>
              <w:t>素</w:t>
            </w:r>
          </w:p>
        </w:tc>
        <w:tc>
          <w:tcPr>
            <w:tcW w:w="850" w:type="dxa"/>
            <w:vAlign w:val="center"/>
          </w:tcPr>
          <w:p w14:paraId="6C6E86FA">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5" w:firstLineChars="20"/>
              <w:jc w:val="center"/>
              <w:textAlignment w:val="auto"/>
            </w:pPr>
            <w:r>
              <w:rPr>
                <w:b/>
                <w:bCs/>
                <w:spacing w:val="-9"/>
              </w:rPr>
              <w:t>分值</w:t>
            </w:r>
          </w:p>
        </w:tc>
        <w:tc>
          <w:tcPr>
            <w:tcW w:w="5112" w:type="dxa"/>
            <w:vAlign w:val="center"/>
          </w:tcPr>
          <w:p w14:paraId="0C853A10">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center"/>
              <w:textAlignment w:val="auto"/>
            </w:pPr>
            <w:r>
              <w:rPr>
                <w:b/>
                <w:bCs/>
                <w:spacing w:val="-5"/>
              </w:rPr>
              <w:t>评分标准</w:t>
            </w:r>
          </w:p>
        </w:tc>
        <w:tc>
          <w:tcPr>
            <w:tcW w:w="963" w:type="dxa"/>
            <w:vAlign w:val="center"/>
          </w:tcPr>
          <w:p w14:paraId="0A33B49E">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5" w:firstLineChars="20"/>
              <w:jc w:val="center"/>
              <w:textAlignment w:val="auto"/>
            </w:pPr>
            <w:r>
              <w:rPr>
                <w:b/>
                <w:bCs/>
                <w:spacing w:val="-9"/>
              </w:rPr>
              <w:t>说明</w:t>
            </w:r>
          </w:p>
        </w:tc>
        <w:tc>
          <w:tcPr>
            <w:tcW w:w="854" w:type="dxa"/>
            <w:vAlign w:val="center"/>
          </w:tcPr>
          <w:p w14:paraId="54F57249">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5" w:firstLineChars="20"/>
              <w:jc w:val="center"/>
              <w:textAlignment w:val="auto"/>
              <w:rPr>
                <w:b/>
                <w:bCs/>
                <w:spacing w:val="-7"/>
              </w:rPr>
            </w:pPr>
            <w:r>
              <w:rPr>
                <w:b/>
                <w:bCs/>
                <w:spacing w:val="-7"/>
              </w:rPr>
              <w:t>客观</w:t>
            </w:r>
          </w:p>
          <w:p w14:paraId="71B67868">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5" w:firstLineChars="20"/>
              <w:jc w:val="center"/>
              <w:textAlignment w:val="auto"/>
            </w:pPr>
            <w:r>
              <w:rPr>
                <w:b/>
                <w:bCs/>
                <w:spacing w:val="-7"/>
              </w:rPr>
              <w:t>/</w:t>
            </w:r>
            <w:r>
              <w:rPr>
                <w:b/>
                <w:bCs/>
                <w:spacing w:val="-9"/>
              </w:rPr>
              <w:t>主观</w:t>
            </w:r>
          </w:p>
        </w:tc>
      </w:tr>
      <w:tr w14:paraId="4EEFB2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572" w:type="dxa"/>
            <w:vAlign w:val="center"/>
          </w:tcPr>
          <w:p w14:paraId="6526ED0E">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8" w:firstLineChars="20"/>
              <w:jc w:val="center"/>
              <w:textAlignment w:val="auto"/>
            </w:pPr>
            <w:r>
              <w:t>1</w:t>
            </w:r>
          </w:p>
        </w:tc>
        <w:tc>
          <w:tcPr>
            <w:tcW w:w="1019" w:type="dxa"/>
            <w:vAlign w:val="center"/>
          </w:tcPr>
          <w:p w14:paraId="71315A24">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center"/>
              <w:textAlignment w:val="auto"/>
            </w:pPr>
            <w:r>
              <w:rPr>
                <w:spacing w:val="-4"/>
              </w:rPr>
              <w:t>报价</w:t>
            </w:r>
          </w:p>
        </w:tc>
        <w:tc>
          <w:tcPr>
            <w:tcW w:w="850" w:type="dxa"/>
            <w:vAlign w:val="center"/>
          </w:tcPr>
          <w:p w14:paraId="27B1D3AE">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4" w:firstLineChars="20"/>
              <w:jc w:val="center"/>
              <w:textAlignment w:val="auto"/>
            </w:pPr>
            <w:r>
              <w:rPr>
                <w:rFonts w:hint="eastAsia"/>
                <w:spacing w:val="-10"/>
                <w:lang w:val="en-US" w:eastAsia="zh-CN"/>
              </w:rPr>
              <w:t>3</w:t>
            </w:r>
            <w:r>
              <w:rPr>
                <w:spacing w:val="-10"/>
              </w:rPr>
              <w:t>0分</w:t>
            </w:r>
          </w:p>
        </w:tc>
        <w:tc>
          <w:tcPr>
            <w:tcW w:w="5112" w:type="dxa"/>
            <w:vAlign w:val="center"/>
          </w:tcPr>
          <w:p w14:paraId="717016B1">
            <w:pPr>
              <w:pStyle w:val="56"/>
              <w:keepNext w:val="0"/>
              <w:keepLines w:val="0"/>
              <w:pageBreakBefore w:val="0"/>
              <w:widowControl w:val="0"/>
              <w:kinsoku/>
              <w:wordWrap/>
              <w:overflowPunct/>
              <w:topLinePunct w:val="0"/>
              <w:autoSpaceDE/>
              <w:autoSpaceDN/>
              <w:bidi/>
              <w:adjustRightInd/>
              <w:snapToGrid/>
              <w:spacing w:line="240" w:lineRule="auto"/>
              <w:ind w:left="0" w:leftChars="0" w:right="67" w:rightChars="32" w:firstLine="0" w:firstLineChars="0"/>
              <w:jc w:val="right"/>
              <w:textAlignment w:val="auto"/>
            </w:pPr>
            <w:r>
              <w:rPr>
                <w:spacing w:val="-3"/>
              </w:rPr>
              <w:t>满足</w:t>
            </w:r>
            <w:r>
              <w:rPr>
                <w:rFonts w:hint="eastAsia"/>
                <w:spacing w:val="-3"/>
                <w:lang w:eastAsia="zh-CN"/>
              </w:rPr>
              <w:t>比选</w:t>
            </w:r>
            <w:r>
              <w:rPr>
                <w:spacing w:val="-3"/>
              </w:rPr>
              <w:t>文件要求且最低的最终报价为基准价，其价格分为满分。其他供应商的价格分统一按照下列公式计算：报价得分=(基准价／报价)*</w:t>
            </w:r>
            <w:r>
              <w:rPr>
                <w:rFonts w:hint="eastAsia"/>
                <w:spacing w:val="-3"/>
                <w:lang w:val="en-US" w:eastAsia="zh-CN"/>
              </w:rPr>
              <w:t>3</w:t>
            </w:r>
            <w:r>
              <w:rPr>
                <w:spacing w:val="-3"/>
              </w:rPr>
              <w:t>0。</w:t>
            </w:r>
          </w:p>
        </w:tc>
        <w:tc>
          <w:tcPr>
            <w:tcW w:w="963" w:type="dxa"/>
            <w:vAlign w:val="center"/>
          </w:tcPr>
          <w:p w14:paraId="1A98F944">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center"/>
              <w:textAlignment w:val="auto"/>
            </w:pPr>
            <w:r>
              <w:rPr>
                <w:spacing w:val="-3"/>
              </w:rPr>
              <w:t>共同评</w:t>
            </w:r>
            <w:r>
              <w:rPr>
                <w:spacing w:val="-5"/>
              </w:rPr>
              <w:t>分因素</w:t>
            </w:r>
          </w:p>
        </w:tc>
        <w:tc>
          <w:tcPr>
            <w:tcW w:w="854" w:type="dxa"/>
            <w:vAlign w:val="center"/>
          </w:tcPr>
          <w:p w14:paraId="5BCDD776">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5" w:firstLineChars="20"/>
              <w:jc w:val="center"/>
              <w:textAlignment w:val="auto"/>
            </w:pPr>
            <w:r>
              <w:rPr>
                <w:spacing w:val="-6"/>
              </w:rPr>
              <w:t>客观</w:t>
            </w:r>
          </w:p>
        </w:tc>
      </w:tr>
      <w:tr w14:paraId="0EE9AE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572" w:type="dxa"/>
            <w:vAlign w:val="center"/>
          </w:tcPr>
          <w:p w14:paraId="3C8517CB">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8" w:firstLineChars="20"/>
              <w:jc w:val="center"/>
              <w:textAlignment w:val="auto"/>
            </w:pPr>
            <w:r>
              <w:t>2</w:t>
            </w:r>
          </w:p>
        </w:tc>
        <w:tc>
          <w:tcPr>
            <w:tcW w:w="1019" w:type="dxa"/>
            <w:vAlign w:val="center"/>
          </w:tcPr>
          <w:p w14:paraId="15EE770E">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center"/>
              <w:textAlignment w:val="auto"/>
            </w:pPr>
            <w:r>
              <w:rPr>
                <w:spacing w:val="-5"/>
              </w:rPr>
              <w:t>设计方</w:t>
            </w:r>
            <w:r>
              <w:t>案</w:t>
            </w:r>
          </w:p>
        </w:tc>
        <w:tc>
          <w:tcPr>
            <w:tcW w:w="850" w:type="dxa"/>
            <w:vAlign w:val="center"/>
          </w:tcPr>
          <w:p w14:paraId="5E83579B">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center"/>
              <w:textAlignment w:val="auto"/>
            </w:pPr>
            <w:r>
              <w:rPr>
                <w:spacing w:val="-5"/>
              </w:rPr>
              <w:t>35分</w:t>
            </w:r>
          </w:p>
        </w:tc>
        <w:tc>
          <w:tcPr>
            <w:tcW w:w="5112" w:type="dxa"/>
            <w:vAlign w:val="center"/>
          </w:tcPr>
          <w:p w14:paraId="468BC645">
            <w:pPr>
              <w:pStyle w:val="56"/>
              <w:keepNext w:val="0"/>
              <w:keepLines w:val="0"/>
              <w:pageBreakBefore w:val="0"/>
              <w:widowControl w:val="0"/>
              <w:numPr>
                <w:ilvl w:val="0"/>
                <w:numId w:val="0"/>
              </w:numPr>
              <w:kinsoku/>
              <w:wordWrap/>
              <w:overflowPunct/>
              <w:topLinePunct w:val="0"/>
              <w:autoSpaceDE/>
              <w:autoSpaceDN/>
              <w:bidi/>
              <w:adjustRightInd/>
              <w:snapToGrid/>
              <w:spacing w:line="240" w:lineRule="auto"/>
              <w:ind w:left="0" w:leftChars="0" w:right="67" w:rightChars="32" w:firstLine="0" w:firstLineChars="0"/>
              <w:jc w:val="right"/>
              <w:textAlignment w:val="auto"/>
              <w:rPr>
                <w:spacing w:val="-3"/>
              </w:rPr>
            </w:pPr>
            <w:r>
              <w:rPr>
                <w:rFonts w:ascii="宋体" w:hAnsi="宋体" w:eastAsia="宋体" w:cs="宋体"/>
                <w:spacing w:val="-3"/>
                <w:kern w:val="2"/>
                <w:sz w:val="24"/>
                <w:szCs w:val="24"/>
                <w:lang w:val="en-US" w:eastAsia="en-US" w:bidi="ar-SA"/>
              </w:rPr>
              <w:t>1.</w:t>
            </w:r>
            <w:r>
              <w:rPr>
                <w:spacing w:val="-2"/>
              </w:rPr>
              <w:t>供应商根据本项目的采购需求提供拟为本项</w:t>
            </w:r>
            <w:r>
              <w:rPr>
                <w:spacing w:val="-6"/>
              </w:rPr>
              <w:t>目的总体设计思路，总体设计思路无缺陷的得5分，每有一处内容存在缺陷的扣2.5分，该</w:t>
            </w:r>
            <w:r>
              <w:rPr>
                <w:spacing w:val="-7"/>
              </w:rPr>
              <w:t>项5</w:t>
            </w:r>
            <w:r>
              <w:rPr>
                <w:spacing w:val="-3"/>
              </w:rPr>
              <w:t>分扣完为止。</w:t>
            </w:r>
          </w:p>
          <w:p w14:paraId="5E1CCF20">
            <w:pPr>
              <w:pStyle w:val="56"/>
              <w:keepNext w:val="0"/>
              <w:keepLines w:val="0"/>
              <w:pageBreakBefore w:val="0"/>
              <w:widowControl w:val="0"/>
              <w:numPr>
                <w:ilvl w:val="0"/>
                <w:numId w:val="0"/>
              </w:numPr>
              <w:kinsoku/>
              <w:wordWrap/>
              <w:overflowPunct/>
              <w:topLinePunct w:val="0"/>
              <w:autoSpaceDE/>
              <w:autoSpaceDN/>
              <w:bidi/>
              <w:adjustRightInd/>
              <w:snapToGrid/>
              <w:spacing w:line="240" w:lineRule="auto"/>
              <w:ind w:left="0" w:leftChars="0" w:right="67" w:rightChars="32" w:firstLine="0" w:firstLineChars="0"/>
              <w:jc w:val="right"/>
              <w:textAlignment w:val="auto"/>
            </w:pPr>
            <w:r>
              <w:rPr>
                <w:spacing w:val="-1"/>
              </w:rPr>
              <w:t>缺陷是指项目名称错误，地点区域错误，内容与本项目无关，仅有框架或标题，涉及的规范及标准错误等上述任意一种情形。</w:t>
            </w:r>
          </w:p>
          <w:p w14:paraId="3FAC9F22">
            <w:pPr>
              <w:pStyle w:val="56"/>
              <w:keepNext w:val="0"/>
              <w:keepLines w:val="0"/>
              <w:pageBreakBefore w:val="0"/>
              <w:widowControl w:val="0"/>
              <w:kinsoku/>
              <w:wordWrap/>
              <w:overflowPunct/>
              <w:topLinePunct w:val="0"/>
              <w:autoSpaceDE/>
              <w:autoSpaceDN/>
              <w:bidi/>
              <w:adjustRightInd/>
              <w:snapToGrid/>
              <w:spacing w:line="240" w:lineRule="auto"/>
              <w:ind w:left="0" w:leftChars="0" w:right="67" w:rightChars="32" w:firstLine="0" w:firstLineChars="0"/>
              <w:jc w:val="right"/>
              <w:textAlignment w:val="auto"/>
            </w:pPr>
            <w:r>
              <w:rPr>
                <w:spacing w:val="-1"/>
              </w:rPr>
              <w:t>2.供应商根据本项目的采购需求提供拟为本项</w:t>
            </w:r>
            <w:r>
              <w:rPr>
                <w:spacing w:val="-7"/>
              </w:rPr>
              <w:t>目的设计方案，包括</w:t>
            </w:r>
            <w:r>
              <w:rPr>
                <w:spacing w:val="-62"/>
                <w:w w:val="98"/>
              </w:rPr>
              <w:t>：</w:t>
            </w:r>
            <w:r>
              <w:t>（</w:t>
            </w:r>
            <w:r>
              <w:rPr>
                <w:rFonts w:hint="eastAsia"/>
                <w:lang w:val="en-US" w:eastAsia="zh-CN"/>
              </w:rPr>
              <w:t>1</w:t>
            </w:r>
            <w:r>
              <w:t>）质量效果及要求（至少包含内容呈现）</w:t>
            </w:r>
            <w:r>
              <w:rPr>
                <w:spacing w:val="-16"/>
              </w:rPr>
              <w:t>（</w:t>
            </w:r>
            <w:r>
              <w:t>2）设计步骤及</w:t>
            </w:r>
            <w:r>
              <w:rPr>
                <w:spacing w:val="-1"/>
              </w:rPr>
              <w:t>方法（至少包含设计前准备、设计过程、完成</w:t>
            </w:r>
            <w:r>
              <w:t>与交付、后期服务</w:t>
            </w:r>
            <w:r>
              <w:rPr>
                <w:spacing w:val="-17"/>
              </w:rPr>
              <w:t>）（</w:t>
            </w:r>
            <w:r>
              <w:t>3）设计原则（至少包含</w:t>
            </w:r>
            <w:r>
              <w:rPr>
                <w:spacing w:val="-1"/>
              </w:rPr>
              <w:t>功能性原则、创意性原则</w:t>
            </w:r>
            <w:r>
              <w:rPr>
                <w:spacing w:val="-16"/>
              </w:rPr>
              <w:t>）（</w:t>
            </w:r>
            <w:r>
              <w:t>4）文化建设设计内容（至少包含设计内容方案</w:t>
            </w:r>
            <w:r>
              <w:rPr>
                <w:spacing w:val="-16"/>
              </w:rPr>
              <w:t>）（</w:t>
            </w:r>
            <w:r>
              <w:t>5）设计关</w:t>
            </w:r>
            <w:r>
              <w:rPr>
                <w:spacing w:val="-1"/>
              </w:rPr>
              <w:t>键节点及难点分析（至少包含设计关键节点分析、设计难点与解决措施分析）等。</w:t>
            </w:r>
            <w:r>
              <w:rPr>
                <w:spacing w:val="-5"/>
              </w:rPr>
              <w:t>以上内容均完整且无缺陷的得15分，每有一项</w:t>
            </w:r>
            <w:r>
              <w:rPr>
                <w:spacing w:val="-2"/>
              </w:rPr>
              <w:t>内容缺失的扣3分，每有一处内容存在缺陷的</w:t>
            </w:r>
            <w:r>
              <w:rPr>
                <w:spacing w:val="-6"/>
              </w:rPr>
              <w:t>扣1.5分，该项3分扣完为止。</w:t>
            </w:r>
          </w:p>
          <w:p w14:paraId="448CFB90">
            <w:pPr>
              <w:pStyle w:val="56"/>
              <w:keepNext w:val="0"/>
              <w:keepLines w:val="0"/>
              <w:pageBreakBefore w:val="0"/>
              <w:widowControl w:val="0"/>
              <w:kinsoku/>
              <w:wordWrap/>
              <w:overflowPunct/>
              <w:topLinePunct w:val="0"/>
              <w:autoSpaceDE/>
              <w:autoSpaceDN/>
              <w:bidi/>
              <w:adjustRightInd/>
              <w:snapToGrid/>
              <w:spacing w:line="240" w:lineRule="auto"/>
              <w:ind w:left="0" w:leftChars="0" w:right="67" w:rightChars="32" w:firstLine="0" w:firstLineChars="0"/>
              <w:jc w:val="right"/>
              <w:textAlignment w:val="auto"/>
            </w:pPr>
            <w:r>
              <w:rPr>
                <w:spacing w:val="-1"/>
              </w:rPr>
              <w:t>缺陷是指项目名称错误，地点区域错误，内容与本项目无关，仅有框架或标题，涉及的规范及标准错误等上述任意一种情形。</w:t>
            </w:r>
          </w:p>
          <w:p w14:paraId="56732FC9">
            <w:pPr>
              <w:pStyle w:val="56"/>
              <w:keepNext w:val="0"/>
              <w:keepLines w:val="0"/>
              <w:pageBreakBefore w:val="0"/>
              <w:widowControl w:val="0"/>
              <w:kinsoku/>
              <w:wordWrap/>
              <w:overflowPunct/>
              <w:topLinePunct w:val="0"/>
              <w:autoSpaceDE/>
              <w:autoSpaceDN/>
              <w:bidi/>
              <w:adjustRightInd/>
              <w:snapToGrid/>
              <w:spacing w:line="240" w:lineRule="auto"/>
              <w:ind w:left="0" w:leftChars="0" w:right="67" w:rightChars="32" w:firstLine="0" w:firstLineChars="0"/>
              <w:jc w:val="right"/>
              <w:textAlignment w:val="auto"/>
            </w:pPr>
            <w:r>
              <w:rPr>
                <w:spacing w:val="-1"/>
              </w:rPr>
              <w:t>3.供应商应按照本项目需求提供设计效果图</w:t>
            </w:r>
            <w:r>
              <w:rPr>
                <w:spacing w:val="-2"/>
              </w:rPr>
              <w:t>。</w:t>
            </w:r>
          </w:p>
          <w:p w14:paraId="05C74035">
            <w:pPr>
              <w:pStyle w:val="56"/>
              <w:keepNext w:val="0"/>
              <w:keepLines w:val="0"/>
              <w:pageBreakBefore w:val="0"/>
              <w:widowControl w:val="0"/>
              <w:kinsoku/>
              <w:wordWrap/>
              <w:overflowPunct/>
              <w:topLinePunct w:val="0"/>
              <w:autoSpaceDE/>
              <w:autoSpaceDN/>
              <w:bidi/>
              <w:adjustRightInd/>
              <w:snapToGrid/>
              <w:spacing w:line="240" w:lineRule="auto"/>
              <w:ind w:left="0" w:leftChars="0" w:right="67" w:rightChars="32" w:firstLine="0" w:firstLineChars="0"/>
              <w:jc w:val="right"/>
              <w:textAlignment w:val="auto"/>
            </w:pPr>
            <w:r>
              <w:rPr>
                <w:rFonts w:hint="eastAsia"/>
                <w:spacing w:val="-5"/>
                <w:lang w:eastAsia="zh-CN"/>
              </w:rPr>
              <w:t>每个区域</w:t>
            </w:r>
            <w:r>
              <w:rPr>
                <w:spacing w:val="-5"/>
              </w:rPr>
              <w:t>出具设计效果图至少1张：①设计图需标明所有尺寸数据；②设计图需标明各部分相关材质；</w:t>
            </w:r>
            <w:r>
              <w:rPr>
                <w:spacing w:val="-1"/>
              </w:rPr>
              <w:t>③设计图需展示</w:t>
            </w:r>
            <w:r>
              <w:rPr>
                <w:rFonts w:hint="eastAsia"/>
                <w:spacing w:val="-1"/>
                <w:lang w:eastAsia="zh-CN"/>
              </w:rPr>
              <w:t>万源市人民医院</w:t>
            </w:r>
            <w:r>
              <w:rPr>
                <w:spacing w:val="-1"/>
              </w:rPr>
              <w:t>相关文</w:t>
            </w:r>
            <w:r>
              <w:rPr>
                <w:spacing w:val="-2"/>
              </w:rPr>
              <w:t>字、图片；完全满足以上要求且无缺陷得15分，每有一项不符合要求扣5分，每有一处缺</w:t>
            </w:r>
            <w:r>
              <w:rPr>
                <w:spacing w:val="-6"/>
              </w:rPr>
              <w:t>陷扣1分，该项5分扣完为止。</w:t>
            </w:r>
          </w:p>
          <w:p w14:paraId="024830F8">
            <w:pPr>
              <w:pStyle w:val="56"/>
              <w:keepNext w:val="0"/>
              <w:keepLines w:val="0"/>
              <w:pageBreakBefore w:val="0"/>
              <w:widowControl w:val="0"/>
              <w:kinsoku/>
              <w:wordWrap/>
              <w:overflowPunct/>
              <w:topLinePunct w:val="0"/>
              <w:autoSpaceDE/>
              <w:autoSpaceDN/>
              <w:bidi/>
              <w:adjustRightInd/>
              <w:snapToGrid/>
              <w:spacing w:line="240" w:lineRule="auto"/>
              <w:ind w:left="0" w:leftChars="0" w:right="67" w:rightChars="32" w:firstLine="0" w:firstLineChars="0"/>
              <w:jc w:val="right"/>
              <w:textAlignment w:val="auto"/>
            </w:pPr>
            <w:r>
              <w:rPr>
                <w:spacing w:val="-2"/>
              </w:rPr>
              <w:t>注：①不符合要求是指未标明尺寸数据，或未标明相关材质，或无文字或图片。②缺陷是指</w:t>
            </w:r>
            <w:r>
              <w:rPr>
                <w:spacing w:val="-1"/>
              </w:rPr>
              <w:t>缺少一处尺寸数据或有一处未标明材质或有一处文字或图片与</w:t>
            </w:r>
            <w:r>
              <w:rPr>
                <w:rFonts w:hint="eastAsia"/>
                <w:spacing w:val="-1"/>
                <w:lang w:eastAsia="zh-CN"/>
              </w:rPr>
              <w:t>万源市人民医院</w:t>
            </w:r>
            <w:r>
              <w:rPr>
                <w:spacing w:val="-1"/>
              </w:rPr>
              <w:t>无关。</w:t>
            </w:r>
          </w:p>
        </w:tc>
        <w:tc>
          <w:tcPr>
            <w:tcW w:w="963" w:type="dxa"/>
            <w:vAlign w:val="center"/>
          </w:tcPr>
          <w:p w14:paraId="6766BBBF">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center"/>
              <w:textAlignment w:val="auto"/>
            </w:pPr>
            <w:r>
              <w:rPr>
                <w:spacing w:val="-4"/>
              </w:rPr>
              <w:t>技术类</w:t>
            </w:r>
          </w:p>
          <w:p w14:paraId="5D14D664">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center"/>
              <w:textAlignment w:val="auto"/>
            </w:pPr>
            <w:r>
              <w:rPr>
                <w:spacing w:val="-3"/>
              </w:rPr>
              <w:t>评分因</w:t>
            </w:r>
          </w:p>
          <w:p w14:paraId="0CF3645B">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8" w:firstLineChars="20"/>
              <w:jc w:val="center"/>
              <w:textAlignment w:val="auto"/>
            </w:pPr>
            <w:r>
              <w:t>素</w:t>
            </w:r>
          </w:p>
        </w:tc>
        <w:tc>
          <w:tcPr>
            <w:tcW w:w="854" w:type="dxa"/>
            <w:vAlign w:val="center"/>
          </w:tcPr>
          <w:p w14:paraId="75CF88F5">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5" w:firstLineChars="20"/>
              <w:jc w:val="center"/>
              <w:textAlignment w:val="auto"/>
            </w:pPr>
            <w:r>
              <w:rPr>
                <w:spacing w:val="-6"/>
              </w:rPr>
              <w:t>主观</w:t>
            </w:r>
          </w:p>
        </w:tc>
      </w:tr>
      <w:tr w14:paraId="46E14A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572" w:type="dxa"/>
            <w:vAlign w:val="center"/>
          </w:tcPr>
          <w:p w14:paraId="7E730815">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8" w:firstLineChars="20"/>
              <w:jc w:val="center"/>
              <w:textAlignment w:val="auto"/>
              <w:rPr>
                <w:rFonts w:hint="eastAsia" w:eastAsia="宋体"/>
                <w:lang w:eastAsia="zh-CN"/>
              </w:rPr>
            </w:pPr>
            <w:r>
              <w:rPr>
                <w:rFonts w:hint="eastAsia"/>
                <w:lang w:val="en-US" w:eastAsia="zh-CN"/>
              </w:rPr>
              <w:t>3</w:t>
            </w:r>
          </w:p>
        </w:tc>
        <w:tc>
          <w:tcPr>
            <w:tcW w:w="1019" w:type="dxa"/>
            <w:vAlign w:val="center"/>
          </w:tcPr>
          <w:p w14:paraId="3DFED973">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both"/>
              <w:textAlignment w:val="auto"/>
            </w:pPr>
            <w:r>
              <w:rPr>
                <w:spacing w:val="-4"/>
              </w:rPr>
              <w:t>售后服务方案</w:t>
            </w:r>
          </w:p>
        </w:tc>
        <w:tc>
          <w:tcPr>
            <w:tcW w:w="850" w:type="dxa"/>
            <w:vAlign w:val="center"/>
          </w:tcPr>
          <w:p w14:paraId="133FDE78">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4" w:firstLineChars="20"/>
              <w:jc w:val="center"/>
              <w:textAlignment w:val="auto"/>
            </w:pPr>
            <w:r>
              <w:rPr>
                <w:spacing w:val="-10"/>
              </w:rPr>
              <w:t>15分</w:t>
            </w:r>
          </w:p>
        </w:tc>
        <w:tc>
          <w:tcPr>
            <w:tcW w:w="5112" w:type="dxa"/>
            <w:vAlign w:val="center"/>
          </w:tcPr>
          <w:p w14:paraId="3F62A698">
            <w:pPr>
              <w:pStyle w:val="56"/>
              <w:keepNext w:val="0"/>
              <w:keepLines w:val="0"/>
              <w:pageBreakBefore w:val="0"/>
              <w:widowControl w:val="0"/>
              <w:kinsoku/>
              <w:wordWrap/>
              <w:overflowPunct/>
              <w:topLinePunct w:val="0"/>
              <w:autoSpaceDE/>
              <w:autoSpaceDN/>
              <w:bidi/>
              <w:adjustRightInd/>
              <w:snapToGrid/>
              <w:spacing w:line="240" w:lineRule="auto"/>
              <w:ind w:left="0" w:leftChars="0" w:right="67" w:rightChars="32" w:firstLine="0" w:firstLineChars="0"/>
              <w:jc w:val="right"/>
              <w:textAlignment w:val="auto"/>
            </w:pPr>
            <w:r>
              <w:rPr>
                <w:spacing w:val="4"/>
              </w:rPr>
              <w:t>供应商应按照本项目的采购需求编制项目售后服务方案，根据供应商编制的售后服务方案进</w:t>
            </w:r>
            <w:r>
              <w:rPr>
                <w:spacing w:val="-2"/>
              </w:rPr>
              <w:t>行评审，包括：</w:t>
            </w:r>
          </w:p>
          <w:p w14:paraId="68226A2A">
            <w:pPr>
              <w:pStyle w:val="56"/>
              <w:keepNext w:val="0"/>
              <w:keepLines w:val="0"/>
              <w:pageBreakBefore w:val="0"/>
              <w:widowControl w:val="0"/>
              <w:kinsoku/>
              <w:wordWrap/>
              <w:overflowPunct/>
              <w:topLinePunct w:val="0"/>
              <w:autoSpaceDE/>
              <w:autoSpaceDN/>
              <w:bidi/>
              <w:adjustRightInd/>
              <w:snapToGrid/>
              <w:spacing w:line="240" w:lineRule="auto"/>
              <w:ind w:left="0" w:leftChars="0" w:right="67" w:rightChars="32" w:firstLine="0" w:firstLineChars="0"/>
              <w:jc w:val="right"/>
              <w:textAlignment w:val="auto"/>
            </w:pPr>
            <w:r>
              <w:rPr>
                <w:spacing w:val="-2"/>
              </w:rPr>
              <w:t>（1）售后服务人员安排（售后服务人员配</w:t>
            </w:r>
            <w:r>
              <w:rPr>
                <w:spacing w:val="-3"/>
              </w:rPr>
              <w:t>置及</w:t>
            </w:r>
            <w:r>
              <w:rPr>
                <w:spacing w:val="-5"/>
              </w:rPr>
              <w:t>分工）</w:t>
            </w:r>
          </w:p>
          <w:p w14:paraId="0E3622FB">
            <w:pPr>
              <w:pStyle w:val="56"/>
              <w:keepNext w:val="0"/>
              <w:keepLines w:val="0"/>
              <w:pageBreakBefore w:val="0"/>
              <w:widowControl w:val="0"/>
              <w:kinsoku/>
              <w:wordWrap/>
              <w:overflowPunct/>
              <w:topLinePunct w:val="0"/>
              <w:autoSpaceDE/>
              <w:autoSpaceDN/>
              <w:bidi/>
              <w:adjustRightInd/>
              <w:snapToGrid/>
              <w:spacing w:line="240" w:lineRule="auto"/>
              <w:ind w:left="0" w:leftChars="0" w:right="67" w:rightChars="32" w:firstLine="0" w:firstLineChars="0"/>
              <w:jc w:val="right"/>
              <w:textAlignment w:val="auto"/>
            </w:pPr>
            <w:r>
              <w:rPr>
                <w:spacing w:val="-2"/>
              </w:rPr>
              <w:t>（2）售后服务措施计划（售后服务流程、</w:t>
            </w:r>
            <w:r>
              <w:rPr>
                <w:spacing w:val="-3"/>
              </w:rPr>
              <w:t>售后</w:t>
            </w:r>
            <w:r>
              <w:rPr>
                <w:spacing w:val="-2"/>
              </w:rPr>
              <w:t>服务考核制度）</w:t>
            </w:r>
          </w:p>
          <w:p w14:paraId="27E5DDFE">
            <w:pPr>
              <w:pStyle w:val="56"/>
              <w:keepNext w:val="0"/>
              <w:keepLines w:val="0"/>
              <w:pageBreakBefore w:val="0"/>
              <w:widowControl w:val="0"/>
              <w:kinsoku/>
              <w:wordWrap/>
              <w:overflowPunct/>
              <w:topLinePunct w:val="0"/>
              <w:autoSpaceDE/>
              <w:autoSpaceDN/>
              <w:bidi/>
              <w:adjustRightInd/>
              <w:snapToGrid/>
              <w:spacing w:line="240" w:lineRule="auto"/>
              <w:ind w:left="0" w:leftChars="0" w:right="67" w:rightChars="32" w:firstLine="0" w:firstLineChars="0"/>
              <w:jc w:val="right"/>
              <w:textAlignment w:val="auto"/>
            </w:pPr>
            <w:r>
              <w:rPr>
                <w:spacing w:val="-2"/>
              </w:rPr>
              <w:t>（3）售后应急响应措施（应急预案、突发</w:t>
            </w:r>
            <w:r>
              <w:rPr>
                <w:spacing w:val="-3"/>
              </w:rPr>
              <w:t>事件处理方案）</w:t>
            </w:r>
          </w:p>
          <w:p w14:paraId="1ED19955">
            <w:pPr>
              <w:pStyle w:val="56"/>
              <w:keepNext w:val="0"/>
              <w:keepLines w:val="0"/>
              <w:pageBreakBefore w:val="0"/>
              <w:widowControl w:val="0"/>
              <w:kinsoku/>
              <w:wordWrap/>
              <w:overflowPunct/>
              <w:topLinePunct w:val="0"/>
              <w:autoSpaceDE/>
              <w:autoSpaceDN/>
              <w:bidi/>
              <w:adjustRightInd/>
              <w:snapToGrid/>
              <w:spacing w:line="240" w:lineRule="auto"/>
              <w:ind w:left="0" w:leftChars="0" w:right="67" w:rightChars="32" w:firstLine="0" w:firstLineChars="0"/>
              <w:jc w:val="right"/>
              <w:textAlignment w:val="auto"/>
              <w:rPr>
                <w:spacing w:val="-5"/>
              </w:rPr>
            </w:pPr>
            <w:r>
              <w:rPr>
                <w:spacing w:val="-5"/>
              </w:rPr>
              <w:t>以上内容均完整且无缺陷的得15分，每有一项</w:t>
            </w:r>
            <w:r>
              <w:rPr>
                <w:spacing w:val="2"/>
              </w:rPr>
              <w:t>内容缺失的扣5分，每有一处内容存在缺陷的</w:t>
            </w:r>
            <w:r>
              <w:rPr>
                <w:spacing w:val="-5"/>
              </w:rPr>
              <w:t>扣2.5分，该项5分扣完为止。</w:t>
            </w:r>
          </w:p>
          <w:p w14:paraId="43489E48">
            <w:pPr>
              <w:pStyle w:val="56"/>
              <w:keepNext w:val="0"/>
              <w:keepLines w:val="0"/>
              <w:pageBreakBefore w:val="0"/>
              <w:widowControl w:val="0"/>
              <w:kinsoku/>
              <w:wordWrap/>
              <w:overflowPunct/>
              <w:topLinePunct w:val="0"/>
              <w:autoSpaceDE/>
              <w:autoSpaceDN/>
              <w:bidi/>
              <w:adjustRightInd/>
              <w:snapToGrid/>
              <w:spacing w:line="240" w:lineRule="auto"/>
              <w:ind w:left="0" w:leftChars="0" w:right="67" w:rightChars="32" w:firstLine="0" w:firstLineChars="0"/>
              <w:jc w:val="right"/>
              <w:textAlignment w:val="auto"/>
            </w:pPr>
            <w:r>
              <w:rPr>
                <w:spacing w:val="4"/>
              </w:rPr>
              <w:t>缺陷是指项目名称错误，地点区域错误，内容与本项目无关，仅有框架或标题，涉及的规范</w:t>
            </w:r>
            <w:r>
              <w:rPr>
                <w:spacing w:val="-1"/>
              </w:rPr>
              <w:t>及标准错误等上述任意一种情形。</w:t>
            </w:r>
          </w:p>
        </w:tc>
        <w:tc>
          <w:tcPr>
            <w:tcW w:w="963" w:type="dxa"/>
            <w:vAlign w:val="center"/>
          </w:tcPr>
          <w:p w14:paraId="1A6A5606">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center"/>
              <w:textAlignment w:val="auto"/>
            </w:pPr>
            <w:r>
              <w:rPr>
                <w:spacing w:val="-4"/>
              </w:rPr>
              <w:t>技术类</w:t>
            </w:r>
          </w:p>
          <w:p w14:paraId="11514A1D">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center"/>
              <w:textAlignment w:val="auto"/>
            </w:pPr>
            <w:r>
              <w:rPr>
                <w:spacing w:val="-3"/>
              </w:rPr>
              <w:t>评分因</w:t>
            </w:r>
          </w:p>
          <w:p w14:paraId="6FDC8B93">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8" w:firstLineChars="20"/>
              <w:jc w:val="center"/>
              <w:textAlignment w:val="auto"/>
            </w:pPr>
            <w:r>
              <w:t>素</w:t>
            </w:r>
          </w:p>
        </w:tc>
        <w:tc>
          <w:tcPr>
            <w:tcW w:w="854" w:type="dxa"/>
            <w:vAlign w:val="center"/>
          </w:tcPr>
          <w:p w14:paraId="4E5EF3A2">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5" w:firstLineChars="20"/>
              <w:jc w:val="center"/>
              <w:textAlignment w:val="auto"/>
            </w:pPr>
            <w:r>
              <w:rPr>
                <w:spacing w:val="-6"/>
              </w:rPr>
              <w:t>主观</w:t>
            </w:r>
          </w:p>
        </w:tc>
      </w:tr>
      <w:tr w14:paraId="7F9281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572" w:type="dxa"/>
            <w:vAlign w:val="center"/>
          </w:tcPr>
          <w:p w14:paraId="38A11FF1">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2" w:firstLineChars="20"/>
              <w:jc w:val="center"/>
              <w:textAlignment w:val="auto"/>
              <w:rPr>
                <w:rFonts w:hint="eastAsia" w:eastAsia="宋体"/>
                <w:lang w:eastAsia="zh-CN"/>
              </w:rPr>
            </w:pPr>
            <w:r>
              <w:rPr>
                <w:rFonts w:hint="eastAsia" w:ascii="Arial"/>
                <w:sz w:val="21"/>
                <w:lang w:val="en-US" w:eastAsia="zh-CN"/>
              </w:rPr>
              <w:t>4</w:t>
            </w:r>
          </w:p>
        </w:tc>
        <w:tc>
          <w:tcPr>
            <w:tcW w:w="1019" w:type="dxa"/>
            <w:vAlign w:val="center"/>
          </w:tcPr>
          <w:p w14:paraId="07611B25">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both"/>
              <w:textAlignment w:val="auto"/>
            </w:pPr>
            <w:r>
              <w:rPr>
                <w:rFonts w:hint="eastAsia"/>
                <w:spacing w:val="-4"/>
                <w:lang w:eastAsia="zh-CN"/>
              </w:rPr>
              <w:t>服</w:t>
            </w:r>
            <w:r>
              <w:rPr>
                <w:spacing w:val="-4"/>
              </w:rPr>
              <w:t>务团</w:t>
            </w:r>
            <w:r>
              <w:t>队</w:t>
            </w:r>
          </w:p>
        </w:tc>
        <w:tc>
          <w:tcPr>
            <w:tcW w:w="850" w:type="dxa"/>
            <w:vAlign w:val="center"/>
          </w:tcPr>
          <w:p w14:paraId="10DF7510">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4" w:firstLineChars="20"/>
              <w:jc w:val="center"/>
              <w:textAlignment w:val="auto"/>
            </w:pPr>
            <w:r>
              <w:rPr>
                <w:spacing w:val="-8"/>
              </w:rPr>
              <w:t>5分</w:t>
            </w:r>
          </w:p>
        </w:tc>
        <w:tc>
          <w:tcPr>
            <w:tcW w:w="5112" w:type="dxa"/>
            <w:vAlign w:val="center"/>
          </w:tcPr>
          <w:p w14:paraId="49275A43">
            <w:pPr>
              <w:pStyle w:val="56"/>
              <w:keepNext w:val="0"/>
              <w:keepLines w:val="0"/>
              <w:pageBreakBefore w:val="0"/>
              <w:widowControl w:val="0"/>
              <w:kinsoku/>
              <w:wordWrap/>
              <w:overflowPunct/>
              <w:topLinePunct w:val="0"/>
              <w:autoSpaceDE/>
              <w:autoSpaceDN/>
              <w:bidi/>
              <w:adjustRightInd/>
              <w:snapToGrid/>
              <w:spacing w:line="240" w:lineRule="auto"/>
              <w:ind w:left="0" w:leftChars="0" w:right="67" w:rightChars="32" w:firstLine="0" w:firstLineChars="0"/>
              <w:jc w:val="right"/>
              <w:textAlignment w:val="auto"/>
            </w:pPr>
            <w:r>
              <w:rPr>
                <w:spacing w:val="-1"/>
              </w:rPr>
              <w:t>根据供应商为本项目配备的服务团队人员：</w:t>
            </w:r>
          </w:p>
          <w:p w14:paraId="202F5047">
            <w:pPr>
              <w:pStyle w:val="56"/>
              <w:keepNext w:val="0"/>
              <w:keepLines w:val="0"/>
              <w:pageBreakBefore w:val="0"/>
              <w:widowControl w:val="0"/>
              <w:kinsoku/>
              <w:wordWrap/>
              <w:overflowPunct/>
              <w:topLinePunct w:val="0"/>
              <w:autoSpaceDE/>
              <w:autoSpaceDN/>
              <w:bidi/>
              <w:adjustRightInd/>
              <w:snapToGrid/>
              <w:spacing w:line="240" w:lineRule="auto"/>
              <w:ind w:left="0" w:leftChars="0" w:right="67" w:rightChars="32" w:firstLine="0" w:firstLineChars="0"/>
              <w:jc w:val="right"/>
              <w:textAlignment w:val="auto"/>
            </w:pPr>
            <w:r>
              <w:rPr>
                <w:spacing w:val="4"/>
              </w:rPr>
              <w:t>具有艺术设计或平面设计或视觉传达设计或多媒体设计与制作或电脑美术或美术或图形图像制作等与本项目需求相关的类似专业的人员，</w:t>
            </w:r>
            <w:r>
              <w:rPr>
                <w:spacing w:val="-2"/>
              </w:rPr>
              <w:t>每提供1人得</w:t>
            </w:r>
            <w:r>
              <w:rPr>
                <w:rFonts w:hint="eastAsia"/>
                <w:spacing w:val="-2"/>
                <w:lang w:val="en-US" w:eastAsia="zh-CN"/>
              </w:rPr>
              <w:t>2.5</w:t>
            </w:r>
            <w:r>
              <w:rPr>
                <w:spacing w:val="-2"/>
              </w:rPr>
              <w:t>分，最多得5分。未提供不得分。</w:t>
            </w:r>
          </w:p>
          <w:p w14:paraId="03C96A91">
            <w:pPr>
              <w:pStyle w:val="56"/>
              <w:keepNext w:val="0"/>
              <w:keepLines w:val="0"/>
              <w:pageBreakBefore w:val="0"/>
              <w:widowControl w:val="0"/>
              <w:kinsoku/>
              <w:wordWrap/>
              <w:overflowPunct/>
              <w:topLinePunct w:val="0"/>
              <w:autoSpaceDE/>
              <w:autoSpaceDN/>
              <w:bidi/>
              <w:adjustRightInd/>
              <w:snapToGrid/>
              <w:spacing w:line="240" w:lineRule="auto"/>
              <w:ind w:left="0" w:leftChars="0" w:right="67" w:rightChars="32" w:firstLine="0" w:firstLineChars="0"/>
              <w:jc w:val="right"/>
              <w:textAlignment w:val="auto"/>
            </w:pPr>
            <w:r>
              <w:rPr>
                <w:spacing w:val="4"/>
              </w:rPr>
              <w:t>注：提供人员毕业证或学位证复印件以及上述</w:t>
            </w:r>
            <w:r>
              <w:rPr>
                <w:spacing w:val="-5"/>
              </w:rPr>
              <w:t>人员在供应商单位的在职证明（或提供承诺函，</w:t>
            </w:r>
            <w:r>
              <w:rPr>
                <w:spacing w:val="4"/>
              </w:rPr>
              <w:t>承诺成交后提供相应人员在职证明）。（人员</w:t>
            </w:r>
            <w:r>
              <w:rPr>
                <w:spacing w:val="-1"/>
              </w:rPr>
              <w:t>不重复得分，专业可以重复得分）</w:t>
            </w:r>
          </w:p>
        </w:tc>
        <w:tc>
          <w:tcPr>
            <w:tcW w:w="963" w:type="dxa"/>
            <w:vAlign w:val="center"/>
          </w:tcPr>
          <w:p w14:paraId="42676546">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center"/>
              <w:textAlignment w:val="auto"/>
            </w:pPr>
            <w:r>
              <w:rPr>
                <w:spacing w:val="-3"/>
              </w:rPr>
              <w:t>共同评</w:t>
            </w:r>
            <w:r>
              <w:rPr>
                <w:spacing w:val="-5"/>
              </w:rPr>
              <w:t>分因素</w:t>
            </w:r>
          </w:p>
        </w:tc>
        <w:tc>
          <w:tcPr>
            <w:tcW w:w="854" w:type="dxa"/>
            <w:vAlign w:val="center"/>
          </w:tcPr>
          <w:p w14:paraId="35A52126">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5" w:firstLineChars="20"/>
              <w:jc w:val="center"/>
              <w:textAlignment w:val="auto"/>
            </w:pPr>
            <w:r>
              <w:rPr>
                <w:spacing w:val="-6"/>
              </w:rPr>
              <w:t>客观</w:t>
            </w:r>
          </w:p>
        </w:tc>
      </w:tr>
      <w:tr w14:paraId="12B176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 w:hRule="atLeast"/>
        </w:trPr>
        <w:tc>
          <w:tcPr>
            <w:tcW w:w="572" w:type="dxa"/>
            <w:vAlign w:val="center"/>
          </w:tcPr>
          <w:p w14:paraId="3A36A83C">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2" w:firstLineChars="20"/>
              <w:jc w:val="center"/>
              <w:textAlignment w:val="auto"/>
              <w:rPr>
                <w:rFonts w:hint="eastAsia" w:eastAsia="宋体"/>
                <w:lang w:eastAsia="zh-CN"/>
              </w:rPr>
            </w:pPr>
            <w:r>
              <w:rPr>
                <w:rFonts w:hint="eastAsia" w:ascii="Arial"/>
                <w:sz w:val="21"/>
                <w:lang w:val="en-US" w:eastAsia="zh-CN"/>
              </w:rPr>
              <w:t>6</w:t>
            </w:r>
          </w:p>
        </w:tc>
        <w:tc>
          <w:tcPr>
            <w:tcW w:w="1019" w:type="dxa"/>
            <w:vAlign w:val="center"/>
          </w:tcPr>
          <w:p w14:paraId="752BC30F">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both"/>
              <w:textAlignment w:val="auto"/>
            </w:pPr>
            <w:r>
              <w:rPr>
                <w:rFonts w:hint="eastAsia"/>
                <w:spacing w:val="-5"/>
                <w:lang w:eastAsia="zh-CN"/>
              </w:rPr>
              <w:t>履</w:t>
            </w:r>
            <w:r>
              <w:rPr>
                <w:spacing w:val="-5"/>
              </w:rPr>
              <w:t>约能</w:t>
            </w:r>
            <w:r>
              <w:t>力</w:t>
            </w:r>
          </w:p>
        </w:tc>
        <w:tc>
          <w:tcPr>
            <w:tcW w:w="850" w:type="dxa"/>
            <w:vAlign w:val="center"/>
          </w:tcPr>
          <w:p w14:paraId="6CD32448">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center"/>
              <w:textAlignment w:val="auto"/>
            </w:pPr>
            <w:r>
              <w:rPr>
                <w:rFonts w:hint="eastAsia"/>
                <w:spacing w:val="-5"/>
                <w:lang w:val="en-US" w:eastAsia="zh-CN"/>
              </w:rPr>
              <w:t>15</w:t>
            </w:r>
            <w:r>
              <w:rPr>
                <w:spacing w:val="-5"/>
              </w:rPr>
              <w:t>分</w:t>
            </w:r>
          </w:p>
        </w:tc>
        <w:tc>
          <w:tcPr>
            <w:tcW w:w="5112" w:type="dxa"/>
            <w:vAlign w:val="center"/>
          </w:tcPr>
          <w:p w14:paraId="0F693443">
            <w:pPr>
              <w:pStyle w:val="56"/>
              <w:keepNext w:val="0"/>
              <w:keepLines w:val="0"/>
              <w:pageBreakBefore w:val="0"/>
              <w:widowControl w:val="0"/>
              <w:kinsoku/>
              <w:wordWrap/>
              <w:overflowPunct/>
              <w:topLinePunct w:val="0"/>
              <w:autoSpaceDE/>
              <w:autoSpaceDN/>
              <w:bidi/>
              <w:adjustRightInd/>
              <w:snapToGrid/>
              <w:spacing w:line="240" w:lineRule="auto"/>
              <w:ind w:left="0" w:leftChars="0" w:right="67" w:rightChars="32" w:firstLine="0" w:firstLineChars="0"/>
              <w:jc w:val="right"/>
              <w:textAlignment w:val="auto"/>
            </w:pPr>
            <w:r>
              <w:rPr>
                <w:spacing w:val="-8"/>
              </w:rPr>
              <w:t>供应商提供2020年1月1日（含）至递交响应</w:t>
            </w:r>
            <w:r>
              <w:rPr>
                <w:spacing w:val="4"/>
              </w:rPr>
              <w:t>文件截止时间的文化墙设计制作安装类或展览展示设计制作</w:t>
            </w:r>
            <w:r>
              <w:rPr>
                <w:spacing w:val="13"/>
              </w:rPr>
              <w:t>安装类或品牌文化阵地打造类等项目履约经</w:t>
            </w:r>
            <w:r>
              <w:rPr>
                <w:spacing w:val="-11"/>
              </w:rPr>
              <w:t>验，每提供一个履约经验得5分，最多得</w:t>
            </w:r>
            <w:r>
              <w:rPr>
                <w:rFonts w:hint="eastAsia"/>
                <w:spacing w:val="-11"/>
                <w:lang w:val="en-US" w:eastAsia="zh-CN"/>
              </w:rPr>
              <w:t>15</w:t>
            </w:r>
            <w:r>
              <w:rPr>
                <w:spacing w:val="-11"/>
              </w:rPr>
              <w:t>分。</w:t>
            </w:r>
            <w:r>
              <w:rPr>
                <w:spacing w:val="4"/>
              </w:rPr>
              <w:t>注：提供中标（成交）通知书或者合同复印件并加盖供应商公章</w:t>
            </w:r>
            <w:r>
              <w:rPr>
                <w:spacing w:val="-1"/>
              </w:rPr>
              <w:t>。</w:t>
            </w:r>
          </w:p>
        </w:tc>
        <w:tc>
          <w:tcPr>
            <w:tcW w:w="963" w:type="dxa"/>
            <w:vAlign w:val="center"/>
          </w:tcPr>
          <w:p w14:paraId="58D371C0">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6" w:firstLineChars="20"/>
              <w:jc w:val="center"/>
              <w:textAlignment w:val="auto"/>
            </w:pPr>
            <w:r>
              <w:rPr>
                <w:spacing w:val="-3"/>
              </w:rPr>
              <w:t>共同评</w:t>
            </w:r>
            <w:r>
              <w:rPr>
                <w:spacing w:val="-5"/>
              </w:rPr>
              <w:t>分因素</w:t>
            </w:r>
          </w:p>
        </w:tc>
        <w:tc>
          <w:tcPr>
            <w:tcW w:w="854" w:type="dxa"/>
            <w:vAlign w:val="center"/>
          </w:tcPr>
          <w:p w14:paraId="18EADA5C">
            <w:pPr>
              <w:pStyle w:val="56"/>
              <w:keepNext w:val="0"/>
              <w:keepLines w:val="0"/>
              <w:pageBreakBefore w:val="0"/>
              <w:widowControl w:val="0"/>
              <w:kinsoku/>
              <w:wordWrap/>
              <w:overflowPunct/>
              <w:topLinePunct w:val="0"/>
              <w:autoSpaceDE/>
              <w:autoSpaceDN/>
              <w:bidi w:val="0"/>
              <w:adjustRightInd/>
              <w:snapToGrid/>
              <w:spacing w:line="240" w:lineRule="auto"/>
              <w:ind w:left="0" w:right="0" w:firstLine="45" w:firstLineChars="20"/>
              <w:jc w:val="center"/>
              <w:textAlignment w:val="auto"/>
            </w:pPr>
            <w:r>
              <w:rPr>
                <w:spacing w:val="-6"/>
              </w:rPr>
              <w:t>客观</w:t>
            </w:r>
          </w:p>
        </w:tc>
      </w:tr>
    </w:tbl>
    <w:p w14:paraId="05794AB1">
      <w:pPr>
        <w:pStyle w:val="49"/>
        <w:pageBreakBefore w:val="0"/>
        <w:kinsoku/>
        <w:wordWrap/>
        <w:overflowPunct/>
        <w:topLinePunct w:val="0"/>
        <w:bidi w:val="0"/>
        <w:adjustRightInd/>
        <w:snapToGrid/>
        <w:spacing w:line="578" w:lineRule="exact"/>
        <w:ind w:firstLine="560" w:firstLineChars="200"/>
        <w:textAlignment w:val="auto"/>
        <w:rPr>
          <w:rFonts w:hint="default" w:asciiTheme="minorEastAsia" w:hAnsiTheme="minorEastAsia" w:cstheme="minorEastAsia"/>
          <w:color w:val="000000"/>
          <w:kern w:val="2"/>
          <w:sz w:val="28"/>
          <w:szCs w:val="28"/>
          <w:lang w:eastAsia="zh-CN"/>
        </w:rPr>
      </w:pPr>
      <w:r>
        <w:rPr>
          <w:rFonts w:asciiTheme="minorEastAsia" w:hAnsiTheme="minorEastAsia" w:cstheme="minorEastAsia"/>
          <w:color w:val="000000"/>
          <w:kern w:val="2"/>
          <w:sz w:val="28"/>
          <w:szCs w:val="28"/>
          <w:lang w:eastAsia="zh-CN"/>
        </w:rPr>
        <w:t>说明：</w:t>
      </w:r>
    </w:p>
    <w:p w14:paraId="76A3CC92">
      <w:pPr>
        <w:pStyle w:val="49"/>
        <w:pageBreakBefore w:val="0"/>
        <w:kinsoku/>
        <w:wordWrap/>
        <w:overflowPunct/>
        <w:topLinePunct w:val="0"/>
        <w:bidi w:val="0"/>
        <w:adjustRightInd/>
        <w:snapToGrid/>
        <w:spacing w:line="578" w:lineRule="exact"/>
        <w:ind w:firstLine="560" w:firstLineChars="200"/>
        <w:textAlignment w:val="auto"/>
        <w:rPr>
          <w:rFonts w:hint="default" w:asciiTheme="minorEastAsia" w:hAnsiTheme="minorEastAsia" w:cstheme="minorEastAsia"/>
          <w:color w:val="000000"/>
          <w:kern w:val="2"/>
          <w:sz w:val="28"/>
          <w:szCs w:val="28"/>
          <w:lang w:eastAsia="zh-CN"/>
        </w:rPr>
      </w:pPr>
      <w:r>
        <w:rPr>
          <w:rFonts w:asciiTheme="minorEastAsia" w:hAnsiTheme="minorEastAsia" w:cstheme="minorEastAsia"/>
          <w:color w:val="000000"/>
          <w:kern w:val="2"/>
          <w:sz w:val="28"/>
          <w:szCs w:val="28"/>
          <w:lang w:eastAsia="zh-CN"/>
        </w:rPr>
        <w:t>1、所有的评分、价格等涉及小数计算，先四舍五入再计算；</w:t>
      </w:r>
    </w:p>
    <w:p w14:paraId="17329DBE">
      <w:pPr>
        <w:pStyle w:val="49"/>
        <w:pageBreakBefore w:val="0"/>
        <w:kinsoku/>
        <w:wordWrap/>
        <w:overflowPunct/>
        <w:topLinePunct w:val="0"/>
        <w:bidi w:val="0"/>
        <w:adjustRightInd/>
        <w:snapToGrid/>
        <w:spacing w:line="578" w:lineRule="exact"/>
        <w:ind w:firstLine="560" w:firstLineChars="200"/>
        <w:textAlignment w:val="auto"/>
        <w:rPr>
          <w:rFonts w:hint="default" w:asciiTheme="minorEastAsia" w:hAnsiTheme="minorEastAsia" w:cstheme="minorEastAsia"/>
          <w:color w:val="000000"/>
          <w:kern w:val="2"/>
          <w:sz w:val="28"/>
          <w:szCs w:val="28"/>
          <w:lang w:eastAsia="zh-CN"/>
        </w:rPr>
      </w:pPr>
      <w:r>
        <w:rPr>
          <w:rFonts w:asciiTheme="minorEastAsia" w:hAnsiTheme="minorEastAsia" w:cstheme="minorEastAsia"/>
          <w:color w:val="000000"/>
          <w:kern w:val="2"/>
          <w:sz w:val="28"/>
          <w:szCs w:val="28"/>
          <w:lang w:eastAsia="zh-CN"/>
        </w:rPr>
        <w:t>2、评分标准中要求提供的证明材料须清晰可辨。</w:t>
      </w:r>
    </w:p>
    <w:p w14:paraId="2A6AF223">
      <w:pPr>
        <w:pStyle w:val="9"/>
        <w:pageBreakBefore w:val="0"/>
        <w:kinsoku/>
        <w:wordWrap/>
        <w:overflowPunct/>
        <w:topLinePunct w:val="0"/>
        <w:bidi w:val="0"/>
        <w:adjustRightInd/>
        <w:snapToGrid/>
        <w:spacing w:after="0" w:line="578" w:lineRule="exact"/>
        <w:ind w:firstLine="562" w:firstLineChars="200"/>
        <w:textAlignment w:val="auto"/>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（五）推荐成交候选供应商</w:t>
      </w:r>
    </w:p>
    <w:p w14:paraId="5C9DD576">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比选小组复核后，应当按照经评审的供应商综合得分由高到低顺序推荐成交候选供应商，并编写比选报告。</w:t>
      </w:r>
    </w:p>
    <w:p w14:paraId="4815F78C">
      <w:pPr>
        <w:pStyle w:val="9"/>
        <w:pageBreakBefore w:val="0"/>
        <w:kinsoku/>
        <w:wordWrap/>
        <w:overflowPunct/>
        <w:topLinePunct w:val="0"/>
        <w:bidi w:val="0"/>
        <w:adjustRightInd/>
        <w:snapToGrid/>
        <w:spacing w:after="0" w:line="578" w:lineRule="exact"/>
        <w:ind w:firstLine="562" w:firstLineChars="200"/>
        <w:textAlignment w:val="auto"/>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（六）编写比选报告</w:t>
      </w:r>
    </w:p>
    <w:p w14:paraId="19064C9D">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比选小组推荐成交候选供应商后，出具比选报告。比选报告应当包括下列内容：</w:t>
      </w:r>
    </w:p>
    <w:p w14:paraId="67E90C16">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rPr>
        <w:t>（1）</w:t>
      </w:r>
      <w:r>
        <w:rPr>
          <w:rFonts w:hint="eastAsia" w:asciiTheme="minorEastAsia" w:hAnsiTheme="minorEastAsia" w:eastAsiaTheme="minorEastAsia" w:cstheme="minorEastAsia"/>
          <w:color w:val="000000"/>
          <w:sz w:val="28"/>
          <w:szCs w:val="28"/>
        </w:rPr>
        <w:t>邀请供应商参加采购活动的具体方式和相关情况，以及参加采购活动的供应商名单；</w:t>
      </w:r>
    </w:p>
    <w:p w14:paraId="6E935BEC">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rPr>
        <w:t>（2）</w:t>
      </w:r>
      <w:r>
        <w:rPr>
          <w:rFonts w:hint="eastAsia" w:asciiTheme="minorEastAsia" w:hAnsiTheme="minorEastAsia" w:eastAsiaTheme="minorEastAsia" w:cstheme="minorEastAsia"/>
          <w:color w:val="000000"/>
          <w:sz w:val="28"/>
          <w:szCs w:val="28"/>
        </w:rPr>
        <w:t>评审日期和地点，比选小组成员名单；</w:t>
      </w:r>
    </w:p>
    <w:p w14:paraId="45747961">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rPr>
        <w:t>（3）</w:t>
      </w:r>
      <w:r>
        <w:rPr>
          <w:rFonts w:hint="eastAsia" w:asciiTheme="minorEastAsia" w:hAnsiTheme="minorEastAsia" w:eastAsiaTheme="minorEastAsia" w:cstheme="minorEastAsia"/>
          <w:color w:val="000000"/>
          <w:sz w:val="28"/>
          <w:szCs w:val="28"/>
        </w:rPr>
        <w:t>评审情况记录和说明，包括对供应商的资格审查情况、供应商响应文件审查情况、比选情况、报价情况等；</w:t>
      </w:r>
    </w:p>
    <w:p w14:paraId="0D6FF873">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lang w:val="zh-CN"/>
        </w:rPr>
        <w:t>（4）</w:t>
      </w:r>
      <w:r>
        <w:rPr>
          <w:rFonts w:hint="eastAsia" w:asciiTheme="minorEastAsia" w:hAnsiTheme="minorEastAsia" w:eastAsiaTheme="minorEastAsia" w:cstheme="minorEastAsia"/>
          <w:color w:val="000000"/>
          <w:sz w:val="28"/>
          <w:szCs w:val="28"/>
        </w:rPr>
        <w:t>推荐的成交候选人的名单及理由。</w:t>
      </w:r>
    </w:p>
    <w:p w14:paraId="6BF90977">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比选报告应当由比选小组全体人员签字认可。比选小组成员对比选报告有异议的，比选小组按照少数服从多数的原则推荐成交候选供应商，采购程序继续进行。对比选报告有异议的比选小组成员，应当在报告上签署不同意见并说明理由，由比选小组书面记录相关情况。比选小组成员拒绝在报告上签字又不书面说明其不同意见和理由的，视为同意比选报告。</w:t>
      </w:r>
    </w:p>
    <w:p w14:paraId="1358B042">
      <w:pPr>
        <w:pStyle w:val="9"/>
        <w:pageBreakBefore w:val="0"/>
        <w:kinsoku/>
        <w:wordWrap/>
        <w:overflowPunct/>
        <w:topLinePunct w:val="0"/>
        <w:bidi w:val="0"/>
        <w:adjustRightInd/>
        <w:snapToGrid/>
        <w:spacing w:after="0" w:line="578" w:lineRule="exact"/>
        <w:ind w:firstLine="562" w:firstLineChars="200"/>
        <w:textAlignment w:val="auto"/>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（七）比选异议处理规则</w:t>
      </w:r>
    </w:p>
    <w:p w14:paraId="05F66CC2">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在比选过程中，比选小组成员对响应文件是否符合比选文件规定存在争议的，应当以少数服从多数的原则处理，但不违背比选文件规定。有不同意见的比选小组成员认为认定过程和结果不符合法律法规或者比选文件规定的，应当在比选报告中予以反映。</w:t>
      </w:r>
    </w:p>
    <w:p w14:paraId="7700606F">
      <w:pPr>
        <w:pStyle w:val="9"/>
        <w:pageBreakBefore w:val="0"/>
        <w:kinsoku/>
        <w:wordWrap/>
        <w:overflowPunct/>
        <w:topLinePunct w:val="0"/>
        <w:bidi w:val="0"/>
        <w:adjustRightInd/>
        <w:snapToGrid/>
        <w:spacing w:after="0" w:line="578" w:lineRule="exact"/>
        <w:ind w:firstLine="562" w:firstLineChars="200"/>
        <w:textAlignment w:val="auto"/>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（八）供应商澄清、说明</w:t>
      </w:r>
    </w:p>
    <w:p w14:paraId="347C1CB4">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1.比选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4296A125">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2.比选小组要求供应商澄清、说明或者更正响应文件，供应商的回复，通过纸质书面的形式进行。供应商的澄清、说明或者更正应当由法定代表人/负责人或其授权代表签字或者加盖公章。</w:t>
      </w:r>
    </w:p>
    <w:p w14:paraId="0D7832E5">
      <w:pPr>
        <w:pStyle w:val="9"/>
        <w:pageBreakBefore w:val="0"/>
        <w:kinsoku/>
        <w:wordWrap/>
        <w:overflowPunct/>
        <w:topLinePunct w:val="0"/>
        <w:bidi w:val="0"/>
        <w:adjustRightInd/>
        <w:snapToGrid/>
        <w:spacing w:after="0" w:line="578" w:lineRule="exact"/>
        <w:ind w:firstLine="562" w:firstLineChars="200"/>
        <w:textAlignment w:val="auto"/>
        <w:rPr>
          <w:rFonts w:asciiTheme="minorEastAsia" w:hAnsiTheme="minorEastAsia" w:eastAsiaTheme="minorEastAsia" w:cstheme="minorEastAsia"/>
          <w:b/>
          <w:bCs/>
          <w:color w:val="000000"/>
          <w:sz w:val="28"/>
          <w:szCs w:val="28"/>
        </w:rPr>
      </w:pPr>
      <w:r>
        <w:rPr>
          <w:rFonts w:hint="eastAsia" w:asciiTheme="minorEastAsia" w:hAnsiTheme="minorEastAsia" w:eastAsiaTheme="minorEastAsia" w:cstheme="minorEastAsia"/>
          <w:b/>
          <w:bCs/>
          <w:color w:val="000000"/>
          <w:sz w:val="28"/>
          <w:szCs w:val="28"/>
        </w:rPr>
        <w:t>（九）终止比选采购活动</w:t>
      </w:r>
    </w:p>
    <w:p w14:paraId="47597F55">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出现下列情形之一的，采购人应当终止竞争性比选采购活动，发布项目终止公告并说明原因，重新开展采购活动：</w:t>
      </w:r>
    </w:p>
    <w:p w14:paraId="14653E8D">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因情况变化，不再符合规定的竞争性比选采购方式适用情形的；</w:t>
      </w:r>
    </w:p>
    <w:p w14:paraId="52E170B4">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出现影响采购公正的违法、违规行为的；</w:t>
      </w:r>
    </w:p>
    <w:p w14:paraId="400EBE2C">
      <w:pPr>
        <w:pStyle w:val="9"/>
        <w:pageBreakBefore w:val="0"/>
        <w:kinsoku/>
        <w:wordWrap/>
        <w:overflowPunct/>
        <w:topLinePunct w:val="0"/>
        <w:bidi w:val="0"/>
        <w:adjustRightInd/>
        <w:snapToGrid/>
        <w:spacing w:after="0" w:line="578" w:lineRule="exact"/>
        <w:ind w:firstLine="560" w:firstLineChars="200"/>
        <w:textAlignment w:val="auto"/>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 xml:space="preserve">在采购过程中符合要求的供应商或者报价未超过采购预算的供应商不足3家的。 </w:t>
      </w:r>
    </w:p>
    <w:p w14:paraId="5B9FF3B5">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57" w:name="_Toc9553"/>
      <w:bookmarkStart w:id="58" w:name="_Toc26552"/>
      <w:r>
        <w:rPr>
          <w:rFonts w:hint="eastAsia" w:ascii="黑体" w:hAnsi="黑体" w:eastAsia="黑体" w:cs="黑体"/>
          <w:b w:val="0"/>
          <w:bCs w:val="0"/>
          <w:sz w:val="28"/>
          <w:szCs w:val="28"/>
          <w:lang w:val="zh-CN"/>
        </w:rPr>
        <w:t>三、比选纪律及注意事项</w:t>
      </w:r>
      <w:bookmarkEnd w:id="57"/>
      <w:bookmarkEnd w:id="58"/>
    </w:p>
    <w:p w14:paraId="021309CC">
      <w:pPr>
        <w:pStyle w:val="39"/>
        <w:pageBreakBefore w:val="0"/>
        <w:tabs>
          <w:tab w:val="left" w:pos="1740"/>
        </w:tabs>
        <w:kinsoku/>
        <w:wordWrap/>
        <w:overflowPunct/>
        <w:topLinePunct w:val="0"/>
        <w:autoSpaceDE w:val="0"/>
        <w:autoSpaceDN w:val="0"/>
        <w:bidi w:val="0"/>
        <w:adjustRightInd/>
        <w:snapToGrid/>
        <w:spacing w:line="578" w:lineRule="exact"/>
        <w:ind w:firstLine="54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pacing w:val="-5"/>
          <w:sz w:val="28"/>
          <w:szCs w:val="28"/>
        </w:rPr>
        <w:t>1.比选小组内部讨论的情况和意见必须保密，任何人不得以任何形式透露给供应商</w:t>
      </w:r>
      <w:r>
        <w:rPr>
          <w:rFonts w:hint="eastAsia" w:asciiTheme="minorEastAsia" w:hAnsiTheme="minorEastAsia" w:eastAsiaTheme="minorEastAsia" w:cstheme="minorEastAsia"/>
          <w:sz w:val="28"/>
          <w:szCs w:val="28"/>
        </w:rPr>
        <w:t>或与供应商有关的单位或个人。</w:t>
      </w:r>
    </w:p>
    <w:p w14:paraId="7301E59D">
      <w:pPr>
        <w:pStyle w:val="39"/>
        <w:pageBreakBefore w:val="0"/>
        <w:tabs>
          <w:tab w:val="left" w:pos="1740"/>
        </w:tabs>
        <w:kinsoku/>
        <w:wordWrap/>
        <w:overflowPunct/>
        <w:topLinePunct w:val="0"/>
        <w:autoSpaceDE w:val="0"/>
        <w:autoSpaceDN w:val="0"/>
        <w:bidi w:val="0"/>
        <w:adjustRightInd/>
        <w:snapToGrid/>
        <w:spacing w:line="578" w:lineRule="exact"/>
        <w:ind w:firstLine="524"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pacing w:val="-9"/>
          <w:sz w:val="28"/>
          <w:szCs w:val="28"/>
        </w:rPr>
        <w:t>2.在比选过程中，供应商不得以任何形式对比选小组成员进行旨在影响比选结果的</w:t>
      </w:r>
      <w:r>
        <w:rPr>
          <w:rFonts w:hint="eastAsia" w:asciiTheme="minorEastAsia" w:hAnsiTheme="minorEastAsia" w:eastAsiaTheme="minorEastAsia" w:cstheme="minorEastAsia"/>
          <w:sz w:val="28"/>
          <w:szCs w:val="28"/>
        </w:rPr>
        <w:t>私下接触，否则将取消其参与比选的资格。</w:t>
      </w:r>
    </w:p>
    <w:p w14:paraId="5F18463D">
      <w:pPr>
        <w:pStyle w:val="39"/>
        <w:pageBreakBefore w:val="0"/>
        <w:tabs>
          <w:tab w:val="left" w:pos="1740"/>
        </w:tabs>
        <w:kinsoku/>
        <w:wordWrap/>
        <w:overflowPunct/>
        <w:topLinePunct w:val="0"/>
        <w:autoSpaceDE w:val="0"/>
        <w:autoSpaceDN w:val="0"/>
        <w:bidi w:val="0"/>
        <w:adjustRightInd/>
        <w:snapToGrid/>
        <w:spacing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3.对各供应商的商业秘密，比选小组成员应予以保密，不得泄露给其他供应商。</w:t>
      </w:r>
    </w:p>
    <w:p w14:paraId="3A7BE49C">
      <w:pPr>
        <w:pStyle w:val="39"/>
        <w:pageBreakBefore w:val="0"/>
        <w:tabs>
          <w:tab w:val="left" w:pos="1740"/>
        </w:tabs>
        <w:kinsoku/>
        <w:wordWrap/>
        <w:overflowPunct/>
        <w:topLinePunct w:val="0"/>
        <w:autoSpaceDE w:val="0"/>
        <w:autoSpaceDN w:val="0"/>
        <w:bidi w:val="0"/>
        <w:adjustRightInd/>
        <w:snapToGrid/>
        <w:spacing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4.比选小组独立评判，推荐成交候选人，并写出书面报告。</w:t>
      </w:r>
    </w:p>
    <w:p w14:paraId="0F58C67F">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59" w:name="_Toc8704"/>
      <w:bookmarkStart w:id="60" w:name="_Toc5772"/>
      <w:r>
        <w:rPr>
          <w:rFonts w:hint="eastAsia" w:ascii="黑体" w:hAnsi="黑体" w:eastAsia="黑体" w:cs="黑体"/>
          <w:b w:val="0"/>
          <w:bCs w:val="0"/>
          <w:sz w:val="28"/>
          <w:szCs w:val="28"/>
          <w:lang w:val="zh-CN"/>
        </w:rPr>
        <w:t>四、确定成交供应商</w:t>
      </w:r>
      <w:bookmarkEnd w:id="59"/>
      <w:bookmarkEnd w:id="60"/>
    </w:p>
    <w:p w14:paraId="5C3E4830">
      <w:pPr>
        <w:pStyle w:val="39"/>
        <w:pageBreakBefore w:val="0"/>
        <w:tabs>
          <w:tab w:val="left" w:pos="1800"/>
        </w:tabs>
        <w:kinsoku/>
        <w:wordWrap/>
        <w:overflowPunct/>
        <w:topLinePunct w:val="0"/>
        <w:autoSpaceDE w:val="0"/>
        <w:autoSpaceDN w:val="0"/>
        <w:bidi w:val="0"/>
        <w:adjustRightInd/>
        <w:snapToGrid/>
        <w:spacing w:line="578" w:lineRule="exact"/>
        <w:ind w:firstLine="544" w:firstLineChars="200"/>
        <w:textAlignment w:val="auto"/>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在评审结束后，采购办根据比选小组推荐的供应商顺序确定成交供应商。</w:t>
      </w:r>
    </w:p>
    <w:p w14:paraId="15C1CF2F">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61" w:name="_Toc19152"/>
      <w:bookmarkStart w:id="62" w:name="_Toc6854"/>
      <w:r>
        <w:rPr>
          <w:rFonts w:hint="eastAsia" w:ascii="黑体" w:hAnsi="黑体" w:eastAsia="黑体" w:cs="黑体"/>
          <w:b w:val="0"/>
          <w:bCs w:val="0"/>
          <w:sz w:val="28"/>
          <w:szCs w:val="28"/>
          <w:lang w:val="zh-CN"/>
        </w:rPr>
        <w:t>五、成交公告</w:t>
      </w:r>
      <w:bookmarkEnd w:id="61"/>
      <w:bookmarkEnd w:id="62"/>
    </w:p>
    <w:p w14:paraId="6395BF21">
      <w:pPr>
        <w:pStyle w:val="39"/>
        <w:pageBreakBefore w:val="0"/>
        <w:tabs>
          <w:tab w:val="left" w:pos="1800"/>
        </w:tabs>
        <w:kinsoku/>
        <w:wordWrap/>
        <w:overflowPunct/>
        <w:topLinePunct w:val="0"/>
        <w:autoSpaceDE w:val="0"/>
        <w:autoSpaceDN w:val="0"/>
        <w:bidi w:val="0"/>
        <w:adjustRightInd/>
        <w:snapToGrid/>
        <w:spacing w:line="578" w:lineRule="exact"/>
        <w:ind w:firstLine="544" w:firstLineChars="200"/>
        <w:textAlignment w:val="auto"/>
        <w:rPr>
          <w:rFonts w:asciiTheme="minorEastAsia" w:hAnsiTheme="minorEastAsia" w:eastAsiaTheme="minorEastAsia" w:cstheme="minorEastAsia"/>
          <w:spacing w:val="-4"/>
          <w:sz w:val="28"/>
          <w:szCs w:val="28"/>
        </w:rPr>
      </w:pPr>
      <w:r>
        <w:rPr>
          <w:rFonts w:hint="eastAsia" w:asciiTheme="minorEastAsia" w:hAnsiTheme="minorEastAsia" w:eastAsiaTheme="minorEastAsia" w:cstheme="minorEastAsia"/>
          <w:spacing w:val="-4"/>
          <w:sz w:val="28"/>
          <w:szCs w:val="28"/>
        </w:rPr>
        <w:t>根据比选结果确定的成交供应商在医院官网公示不低于1个工作日。</w:t>
      </w:r>
    </w:p>
    <w:p w14:paraId="040EA169">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63" w:name="_Toc16244"/>
      <w:bookmarkStart w:id="64" w:name="_Toc9257"/>
      <w:r>
        <w:rPr>
          <w:rFonts w:hint="eastAsia" w:ascii="黑体" w:hAnsi="黑体" w:eastAsia="黑体" w:cs="黑体"/>
          <w:b w:val="0"/>
          <w:bCs w:val="0"/>
          <w:sz w:val="28"/>
          <w:szCs w:val="28"/>
          <w:lang w:val="zh-CN"/>
        </w:rPr>
        <w:t>六、成交通知书</w:t>
      </w:r>
      <w:bookmarkEnd w:id="63"/>
      <w:bookmarkEnd w:id="64"/>
    </w:p>
    <w:p w14:paraId="5A4C7DB8">
      <w:pPr>
        <w:pStyle w:val="39"/>
        <w:pageBreakBefore w:val="0"/>
        <w:kinsoku/>
        <w:wordWrap/>
        <w:overflowPunct/>
        <w:topLinePunct w:val="0"/>
        <w:autoSpaceDE w:val="0"/>
        <w:autoSpaceDN w:val="0"/>
        <w:bidi w:val="0"/>
        <w:adjustRightInd/>
        <w:snapToGrid/>
        <w:spacing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1.成交通知书为签订采购合同的依据之一，是合同的有效组成部分。结果公示</w:t>
      </w:r>
      <w:r>
        <w:rPr>
          <w:rFonts w:hint="eastAsia" w:asciiTheme="minorEastAsia" w:hAnsiTheme="minorEastAsia" w:eastAsiaTheme="minorEastAsia" w:cstheme="minorEastAsia"/>
          <w:spacing w:val="-5"/>
          <w:sz w:val="28"/>
          <w:szCs w:val="28"/>
        </w:rPr>
        <w:t>后</w:t>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pacing w:val="-10"/>
          <w:sz w:val="28"/>
          <w:szCs w:val="28"/>
        </w:rPr>
        <w:t>个工作日内采购人</w:t>
      </w:r>
      <w:r>
        <w:rPr>
          <w:rFonts w:hint="eastAsia" w:asciiTheme="minorEastAsia" w:hAnsiTheme="minorEastAsia" w:eastAsiaTheme="minorEastAsia" w:cstheme="minorEastAsia"/>
          <w:sz w:val="28"/>
          <w:szCs w:val="28"/>
        </w:rPr>
        <w:t>向成交供应商发出成交通知书。</w:t>
      </w:r>
    </w:p>
    <w:p w14:paraId="31763F2B">
      <w:pPr>
        <w:pStyle w:val="39"/>
        <w:pageBreakBefore w:val="0"/>
        <w:tabs>
          <w:tab w:val="left" w:pos="1800"/>
        </w:tabs>
        <w:kinsoku/>
        <w:wordWrap/>
        <w:overflowPunct/>
        <w:topLinePunct w:val="0"/>
        <w:autoSpaceDE w:val="0"/>
        <w:autoSpaceDN w:val="0"/>
        <w:bidi w:val="0"/>
        <w:adjustRightInd/>
        <w:snapToGrid/>
        <w:spacing w:line="578" w:lineRule="exact"/>
        <w:ind w:firstLine="548"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pacing w:val="-3"/>
          <w:sz w:val="28"/>
          <w:szCs w:val="28"/>
        </w:rPr>
        <w:t>2.成交通知书将作为签订合同的依据。成交通知书对采购人和成交供应商均具有法</w:t>
      </w:r>
      <w:r>
        <w:rPr>
          <w:rFonts w:hint="eastAsia" w:asciiTheme="minorEastAsia" w:hAnsiTheme="minorEastAsia" w:eastAsiaTheme="minorEastAsia" w:cstheme="minorEastAsia"/>
          <w:spacing w:val="-6"/>
          <w:sz w:val="28"/>
          <w:szCs w:val="28"/>
        </w:rPr>
        <w:t>律效力。成交通知书发出后，采购人改变成交结果或成交供应商无正当理由放弃成交项目</w:t>
      </w:r>
      <w:r>
        <w:rPr>
          <w:rFonts w:hint="eastAsia" w:asciiTheme="minorEastAsia" w:hAnsiTheme="minorEastAsia" w:eastAsiaTheme="minorEastAsia" w:cstheme="minorEastAsia"/>
          <w:sz w:val="28"/>
          <w:szCs w:val="28"/>
        </w:rPr>
        <w:t>的，应当依法承担相关责任。</w:t>
      </w:r>
    </w:p>
    <w:p w14:paraId="26D4EB55">
      <w:pPr>
        <w:pStyle w:val="39"/>
        <w:pageBreakBefore w:val="0"/>
        <w:tabs>
          <w:tab w:val="left" w:pos="1800"/>
        </w:tabs>
        <w:kinsoku/>
        <w:wordWrap/>
        <w:overflowPunct/>
        <w:topLinePunct w:val="0"/>
        <w:autoSpaceDE w:val="0"/>
        <w:autoSpaceDN w:val="0"/>
        <w:bidi w:val="0"/>
        <w:adjustRightInd/>
        <w:snapToGrid/>
        <w:spacing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3.采购人不对成交或未成交原因作出解释，也不退还响应文件。</w:t>
      </w:r>
    </w:p>
    <w:p w14:paraId="3BAC3D0D">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65" w:name="_Toc11576"/>
      <w:bookmarkStart w:id="66" w:name="_Toc28991"/>
      <w:r>
        <w:rPr>
          <w:rFonts w:hint="eastAsia" w:ascii="黑体" w:hAnsi="黑体" w:eastAsia="黑体" w:cs="黑体"/>
          <w:b w:val="0"/>
          <w:bCs w:val="0"/>
          <w:sz w:val="28"/>
          <w:szCs w:val="28"/>
          <w:lang w:val="zh-CN"/>
        </w:rPr>
        <w:t>七、比选小组在采购活动中承担的义务</w:t>
      </w:r>
      <w:bookmarkEnd w:id="65"/>
      <w:bookmarkEnd w:id="66"/>
    </w:p>
    <w:p w14:paraId="60288B5C">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1.遵守评审工作纪律；</w:t>
      </w:r>
    </w:p>
    <w:p w14:paraId="49990E9B">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pacing w:val="-12"/>
          <w:sz w:val="28"/>
          <w:szCs w:val="28"/>
        </w:rPr>
        <w:t>按照客观、公正、审慎的原则，根据比选文件规定的评审程序、评审方法和评</w:t>
      </w:r>
      <w:r>
        <w:rPr>
          <w:rFonts w:hint="eastAsia" w:asciiTheme="minorEastAsia" w:hAnsiTheme="minorEastAsia" w:eastAsiaTheme="minorEastAsia" w:cstheme="minorEastAsia"/>
          <w:sz w:val="28"/>
          <w:szCs w:val="28"/>
        </w:rPr>
        <w:t>审标准进行独立评审；</w:t>
      </w:r>
    </w:p>
    <w:p w14:paraId="733CFE65">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3.不得泄露评审文件、评审情况和在评审过程中获悉的商业秘密；</w:t>
      </w:r>
    </w:p>
    <w:p w14:paraId="173ADD30">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pacing w:val="-3"/>
          <w:sz w:val="28"/>
          <w:szCs w:val="28"/>
        </w:rPr>
        <w:t>发现比选文件内容违反国家有关强制性规定或者比选文件存在歧义、重大缺陷</w:t>
      </w:r>
      <w:r>
        <w:rPr>
          <w:rFonts w:hint="eastAsia" w:asciiTheme="minorEastAsia" w:hAnsiTheme="minorEastAsia" w:eastAsiaTheme="minorEastAsia" w:cstheme="minorEastAsia"/>
          <w:sz w:val="28"/>
          <w:szCs w:val="28"/>
        </w:rPr>
        <w:t>导致评审工作无法进行时，停止评审并向采购人说明情况；</w:t>
      </w:r>
    </w:p>
    <w:p w14:paraId="482B59F0">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5.法律、法规和规章规定的其他义务。</w:t>
      </w:r>
    </w:p>
    <w:p w14:paraId="5A23327D">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67" w:name="_Toc21989"/>
      <w:bookmarkStart w:id="68" w:name="_Toc11288"/>
      <w:r>
        <w:rPr>
          <w:rFonts w:hint="eastAsia" w:ascii="黑体" w:hAnsi="黑体" w:eastAsia="黑体" w:cs="黑体"/>
          <w:b w:val="0"/>
          <w:bCs w:val="0"/>
          <w:sz w:val="28"/>
          <w:szCs w:val="28"/>
          <w:lang w:val="zh-CN"/>
        </w:rPr>
        <w:t>八、评审专家在采购活动中应当遵守的工作纪律</w:t>
      </w:r>
      <w:bookmarkEnd w:id="67"/>
      <w:bookmarkEnd w:id="68"/>
    </w:p>
    <w:p w14:paraId="0DD6FCA6">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pacing w:val="-8"/>
          <w:sz w:val="28"/>
          <w:szCs w:val="28"/>
        </w:rPr>
        <w:t>不得参加与自己有《中华人民共和国政府采购法实施条例》第九条规定的利害</w:t>
      </w:r>
      <w:r>
        <w:rPr>
          <w:rFonts w:hint="eastAsia" w:asciiTheme="minorEastAsia" w:hAnsiTheme="minorEastAsia" w:eastAsiaTheme="minorEastAsia" w:cstheme="minorEastAsia"/>
          <w:spacing w:val="-7"/>
          <w:sz w:val="28"/>
          <w:szCs w:val="28"/>
        </w:rPr>
        <w:t>关系的采购项目的评审活动。发现参加了与自己有利害关系的评审活动，须主动提出</w:t>
      </w:r>
      <w:r>
        <w:rPr>
          <w:rFonts w:hint="eastAsia" w:asciiTheme="minorEastAsia" w:hAnsiTheme="minorEastAsia" w:eastAsiaTheme="minorEastAsia" w:cstheme="minorEastAsia"/>
          <w:sz w:val="28"/>
          <w:szCs w:val="28"/>
        </w:rPr>
        <w:t>回避，退出评审；</w:t>
      </w:r>
    </w:p>
    <w:p w14:paraId="45400110">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pacing w:val="-9"/>
          <w:sz w:val="28"/>
          <w:szCs w:val="28"/>
        </w:rPr>
        <w:t>评审过程中，不得发表影响评审公正的倾向性、歧视性言论，不得征询或者接</w:t>
      </w:r>
      <w:r>
        <w:rPr>
          <w:rFonts w:hint="eastAsia" w:asciiTheme="minorEastAsia" w:hAnsiTheme="minorEastAsia" w:eastAsiaTheme="minorEastAsia" w:cstheme="minorEastAsia"/>
          <w:spacing w:val="-12"/>
          <w:sz w:val="28"/>
          <w:szCs w:val="28"/>
        </w:rPr>
        <w:t>受采购人的倾向性意见，不得明示或暗示供应商在澄清时表达与其响应文件原义不同的意</w:t>
      </w:r>
      <w:r>
        <w:rPr>
          <w:rFonts w:hint="eastAsia" w:asciiTheme="minorEastAsia" w:hAnsiTheme="minorEastAsia" w:eastAsiaTheme="minorEastAsia" w:cstheme="minorEastAsia"/>
          <w:spacing w:val="-11"/>
          <w:sz w:val="28"/>
          <w:szCs w:val="28"/>
        </w:rPr>
        <w:t>见，不得以比选文件没有规定的评审方法和标准作为评审的依据，不得修改或者细化评审</w:t>
      </w:r>
      <w:r>
        <w:rPr>
          <w:rFonts w:hint="eastAsia" w:asciiTheme="minorEastAsia" w:hAnsiTheme="minorEastAsia" w:eastAsiaTheme="minorEastAsia" w:cstheme="minorEastAsia"/>
          <w:spacing w:val="-12"/>
          <w:sz w:val="28"/>
          <w:szCs w:val="28"/>
        </w:rPr>
        <w:t>程序、评审方法、评审因素和评审标准，不得违规撰写评审意见，不得拒绝对自己的评审</w:t>
      </w:r>
      <w:bookmarkStart w:id="69" w:name="第六章__采购合同（样例）"/>
      <w:bookmarkEnd w:id="69"/>
      <w:r>
        <w:rPr>
          <w:rFonts w:hint="eastAsia" w:asciiTheme="minorEastAsia" w:hAnsiTheme="minorEastAsia" w:eastAsiaTheme="minorEastAsia" w:cstheme="minorEastAsia"/>
          <w:sz w:val="28"/>
          <w:szCs w:val="28"/>
        </w:rPr>
        <w:t>意见签字确认；</w:t>
      </w:r>
    </w:p>
    <w:p w14:paraId="7CC86F99">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w:t>
      </w:r>
      <w:r>
        <w:rPr>
          <w:rFonts w:hint="eastAsia" w:asciiTheme="minorEastAsia" w:hAnsiTheme="minorEastAsia" w:eastAsiaTheme="minorEastAsia" w:cstheme="minorEastAsia"/>
          <w:spacing w:val="-7"/>
          <w:sz w:val="28"/>
          <w:szCs w:val="28"/>
        </w:rPr>
        <w:t>在评审过程中和评审结束后，不得记录、复制或带走任何评审资料，不得向外</w:t>
      </w:r>
      <w:r>
        <w:rPr>
          <w:rFonts w:hint="eastAsia" w:asciiTheme="minorEastAsia" w:hAnsiTheme="minorEastAsia" w:eastAsiaTheme="minorEastAsia" w:cstheme="minorEastAsia"/>
          <w:sz w:val="28"/>
          <w:szCs w:val="28"/>
        </w:rPr>
        <w:t>界透露评审内容；</w:t>
      </w:r>
    </w:p>
    <w:p w14:paraId="14BCFEA9">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4.评审现场接受现场监督人员的合法监督；</w:t>
      </w:r>
    </w:p>
    <w:p w14:paraId="6BCCFF04">
      <w:pPr>
        <w:pStyle w:val="9"/>
        <w:pageBreakBefore w:val="0"/>
        <w:kinsoku/>
        <w:wordWrap/>
        <w:overflowPunct/>
        <w:topLinePunct w:val="0"/>
        <w:autoSpaceDE w:val="0"/>
        <w:autoSpaceDN w:val="0"/>
        <w:bidi w:val="0"/>
        <w:adjustRightInd/>
        <w:snapToGrid/>
        <w:spacing w:after="0" w:line="578" w:lineRule="exact"/>
        <w:ind w:firstLine="560" w:firstLineChars="200"/>
        <w:textAlignment w:val="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w:t>
      </w:r>
      <w:r>
        <w:rPr>
          <w:rFonts w:hint="eastAsia" w:asciiTheme="minorEastAsia" w:hAnsiTheme="minorEastAsia" w:eastAsiaTheme="minorEastAsia" w:cstheme="minorEastAsia"/>
          <w:spacing w:val="-7"/>
          <w:sz w:val="28"/>
          <w:szCs w:val="28"/>
        </w:rPr>
        <w:t>遵守有关廉洁自律规定，不得私下接触供应商，不得收受供应商及有关业务单</w:t>
      </w:r>
      <w:r>
        <w:rPr>
          <w:rFonts w:hint="eastAsia" w:asciiTheme="minorEastAsia" w:hAnsiTheme="minorEastAsia" w:eastAsiaTheme="minorEastAsia" w:cstheme="minorEastAsia"/>
          <w:sz w:val="28"/>
          <w:szCs w:val="28"/>
        </w:rPr>
        <w:t>位和个人的财物或好处。</w:t>
      </w:r>
      <w:bookmarkStart w:id="70" w:name="_bookmark5"/>
      <w:bookmarkEnd w:id="70"/>
    </w:p>
    <w:p w14:paraId="4C1BA8D1">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p>
    <w:p w14:paraId="2F5BC111">
      <w:pPr>
        <w:spacing w:line="360" w:lineRule="auto"/>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br w:type="page"/>
      </w:r>
    </w:p>
    <w:p w14:paraId="098F81D8">
      <w:pPr>
        <w:pStyle w:val="22"/>
        <w:rPr>
          <w:rFonts w:hint="eastAsia" w:ascii="方正小标宋简体" w:hAnsi="方正小标宋简体" w:eastAsia="方正小标宋简体" w:cs="方正小标宋简体"/>
          <w:b w:val="0"/>
          <w:bCs w:val="0"/>
        </w:rPr>
      </w:pPr>
      <w:bookmarkStart w:id="71" w:name="_Toc29000"/>
      <w:bookmarkStart w:id="72" w:name="_Toc32336"/>
      <w:bookmarkStart w:id="73" w:name="_Toc9400"/>
      <w:bookmarkStart w:id="74" w:name="_Toc1092"/>
      <w:r>
        <w:rPr>
          <w:rFonts w:hint="eastAsia" w:ascii="方正小标宋简体" w:hAnsi="方正小标宋简体" w:eastAsia="方正小标宋简体" w:cs="方正小标宋简体"/>
          <w:b w:val="0"/>
          <w:bCs w:val="0"/>
          <w:lang w:val="en-US" w:eastAsia="zh-CN"/>
        </w:rPr>
        <w:t>第四章</w:t>
      </w:r>
      <w:r>
        <w:rPr>
          <w:rFonts w:hint="eastAsia" w:ascii="方正小标宋简体" w:hAnsi="方正小标宋简体" w:eastAsia="方正小标宋简体" w:cs="方正小标宋简体"/>
          <w:b w:val="0"/>
          <w:bCs w:val="0"/>
        </w:rPr>
        <w:t xml:space="preserve"> 项目技术、服务、商务及其他</w:t>
      </w:r>
      <w:bookmarkEnd w:id="71"/>
      <w:r>
        <w:rPr>
          <w:rFonts w:hint="eastAsia" w:ascii="方正小标宋简体" w:hAnsi="方正小标宋简体" w:eastAsia="方正小标宋简体" w:cs="方正小标宋简体"/>
          <w:b w:val="0"/>
          <w:bCs w:val="0"/>
        </w:rPr>
        <w:t>要求</w:t>
      </w:r>
      <w:bookmarkEnd w:id="72"/>
      <w:bookmarkEnd w:id="73"/>
      <w:bookmarkEnd w:id="74"/>
    </w:p>
    <w:p w14:paraId="5B17E3C0">
      <w:pPr>
        <w:pStyle w:val="49"/>
        <w:pageBreakBefore w:val="0"/>
        <w:kinsoku/>
        <w:wordWrap/>
        <w:overflowPunct/>
        <w:topLinePunct w:val="0"/>
        <w:autoSpaceDE/>
        <w:autoSpaceDN/>
        <w:bidi w:val="0"/>
        <w:adjustRightInd/>
        <w:snapToGrid/>
        <w:spacing w:line="578" w:lineRule="exact"/>
        <w:ind w:firstLine="560" w:firstLineChars="200"/>
        <w:textAlignment w:val="auto"/>
        <w:rPr>
          <w:rFonts w:hint="default" w:ascii="宋体" w:hAnsi="宋体" w:eastAsia="宋体" w:cs="宋体"/>
          <w:color w:val="000000"/>
          <w:kern w:val="2"/>
          <w:sz w:val="28"/>
          <w:szCs w:val="28"/>
          <w:highlight w:val="none"/>
          <w:lang w:eastAsia="zh-CN"/>
        </w:rPr>
      </w:pPr>
      <w:bookmarkStart w:id="75" w:name="_Toc11429"/>
      <w:r>
        <w:rPr>
          <w:rFonts w:ascii="宋体" w:hAnsi="宋体" w:eastAsia="宋体" w:cs="宋体"/>
          <w:color w:val="000000"/>
          <w:kern w:val="2"/>
          <w:sz w:val="28"/>
          <w:szCs w:val="28"/>
          <w:highlight w:val="none"/>
          <w:lang w:eastAsia="zh-CN"/>
        </w:rPr>
        <w:t>（注：带“★”的参数需求为实质性要求，供应商必须响应并满足的参数需求。）</w:t>
      </w:r>
    </w:p>
    <w:p w14:paraId="3F331118">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76" w:name="_Toc29866"/>
      <w:bookmarkStart w:id="77" w:name="_Toc21642"/>
      <w:r>
        <w:rPr>
          <w:rFonts w:hint="eastAsia" w:ascii="黑体" w:hAnsi="黑体" w:eastAsia="黑体" w:cs="黑体"/>
          <w:b w:val="0"/>
          <w:bCs w:val="0"/>
          <w:sz w:val="28"/>
          <w:szCs w:val="28"/>
          <w:lang w:val="zh-CN"/>
        </w:rPr>
        <w:t>一、项目概况</w:t>
      </w:r>
      <w:bookmarkEnd w:id="75"/>
      <w:bookmarkEnd w:id="76"/>
      <w:bookmarkEnd w:id="77"/>
      <w:bookmarkStart w:id="78" w:name="_Toc30531"/>
    </w:p>
    <w:p w14:paraId="4B60FD5B">
      <w:pPr>
        <w:pageBreakBefore w:val="0"/>
        <w:kinsoku/>
        <w:wordWrap/>
        <w:overflowPunct/>
        <w:topLinePunct w:val="0"/>
        <w:autoSpaceDE/>
        <w:autoSpaceDN/>
        <w:bidi w:val="0"/>
        <w:adjustRightInd/>
        <w:snapToGrid/>
        <w:spacing w:line="578" w:lineRule="exact"/>
        <w:ind w:firstLine="560" w:firstLineChars="200"/>
        <w:jc w:val="left"/>
        <w:textAlignment w:val="auto"/>
        <w:rPr>
          <w:rFonts w:hint="eastAsia" w:eastAsia="宋体" w:asciiTheme="minorEastAsia" w:hAnsiTheme="minorEastAsia"/>
          <w:color w:val="000000" w:themeColor="text1"/>
          <w:sz w:val="28"/>
          <w:szCs w:val="28"/>
          <w:highlight w:val="none"/>
          <w:lang w:eastAsia="zh-CN"/>
          <w14:textFill>
            <w14:solidFill>
              <w14:schemeClr w14:val="tx1"/>
            </w14:solidFill>
          </w14:textFill>
        </w:rPr>
      </w:pPr>
      <w:r>
        <w:rPr>
          <w:rFonts w:hint="eastAsia" w:asciiTheme="minorEastAsia" w:hAnsiTheme="minorEastAsia"/>
          <w:color w:val="000000" w:themeColor="text1"/>
          <w:sz w:val="28"/>
          <w:szCs w:val="28"/>
          <w:highlight w:val="none"/>
          <w14:textFill>
            <w14:solidFill>
              <w14:schemeClr w14:val="tx1"/>
            </w14:solidFill>
          </w14:textFill>
        </w:rPr>
        <w:t>项目名称：</w:t>
      </w:r>
      <w:r>
        <w:rPr>
          <w:rFonts w:hint="eastAsia" w:asciiTheme="minorEastAsia" w:hAnsiTheme="minorEastAsia"/>
          <w:color w:val="000000" w:themeColor="text1"/>
          <w:sz w:val="28"/>
          <w:szCs w:val="28"/>
          <w:highlight w:val="none"/>
          <w:lang w:eastAsia="zh-CN"/>
          <w14:textFill>
            <w14:solidFill>
              <w14:schemeClr w14:val="tx1"/>
            </w14:solidFill>
          </w14:textFill>
        </w:rPr>
        <w:t>党建阵地打造项目</w:t>
      </w:r>
    </w:p>
    <w:p w14:paraId="5CD9D35A">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79" w:name="_Toc10943"/>
      <w:bookmarkStart w:id="80" w:name="_Toc5061"/>
      <w:r>
        <w:rPr>
          <w:rFonts w:hint="eastAsia" w:ascii="黑体" w:hAnsi="黑体" w:eastAsia="黑体" w:cs="黑体"/>
          <w:b w:val="0"/>
          <w:bCs w:val="0"/>
          <w:sz w:val="28"/>
          <w:szCs w:val="28"/>
          <w:lang w:val="zh-CN"/>
        </w:rPr>
        <w:t>二、</w:t>
      </w:r>
      <w:bookmarkEnd w:id="78"/>
      <w:r>
        <w:rPr>
          <w:rFonts w:hint="eastAsia" w:ascii="黑体" w:hAnsi="黑体" w:eastAsia="黑体" w:cs="黑体"/>
          <w:b w:val="0"/>
          <w:bCs w:val="0"/>
          <w:sz w:val="28"/>
          <w:szCs w:val="28"/>
          <w:lang w:val="zh-CN"/>
        </w:rPr>
        <w:t>服务内容及服务要求</w:t>
      </w:r>
      <w:bookmarkEnd w:id="79"/>
      <w:bookmarkEnd w:id="80"/>
    </w:p>
    <w:p w14:paraId="2A153776">
      <w:pPr>
        <w:pStyle w:val="4"/>
        <w:pageBreakBefore w:val="0"/>
        <w:kinsoku/>
        <w:wordWrap/>
        <w:overflowPunct/>
        <w:topLinePunct w:val="0"/>
        <w:autoSpaceDE/>
        <w:autoSpaceDN/>
        <w:bidi w:val="0"/>
        <w:adjustRightInd/>
        <w:snapToGrid/>
        <w:spacing w:before="0" w:after="0" w:line="578" w:lineRule="exact"/>
        <w:ind w:firstLine="562" w:firstLineChars="200"/>
        <w:textAlignment w:val="auto"/>
        <w:rPr>
          <w:rFonts w:hint="eastAsia" w:ascii="宋体" w:hAnsi="宋体" w:cs="宋体"/>
          <w:color w:val="000000"/>
          <w:sz w:val="28"/>
          <w:szCs w:val="28"/>
          <w:highlight w:val="none"/>
          <w:lang w:eastAsia="zh-CN"/>
        </w:rPr>
      </w:pPr>
      <w:bookmarkStart w:id="81" w:name="_Toc22175"/>
      <w:r>
        <w:rPr>
          <w:rFonts w:ascii="宋体" w:hAnsi="宋体" w:eastAsia="宋体" w:cs="宋体"/>
          <w:color w:val="000000"/>
          <w:kern w:val="2"/>
          <w:sz w:val="28"/>
          <w:szCs w:val="28"/>
          <w:highlight w:val="none"/>
          <w:lang w:eastAsia="zh-CN"/>
        </w:rPr>
        <w:t>★</w:t>
      </w:r>
      <w:r>
        <w:rPr>
          <w:rFonts w:hint="eastAsia" w:ascii="宋体" w:hAnsi="宋体" w:cs="宋体"/>
          <w:color w:val="000000"/>
          <w:sz w:val="28"/>
          <w:szCs w:val="28"/>
          <w:highlight w:val="none"/>
        </w:rPr>
        <w:t>（一）服务内容</w:t>
      </w:r>
      <w:bookmarkEnd w:id="81"/>
    </w:p>
    <w:p w14:paraId="396C1CCD">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val="en-US" w:eastAsia="zh-CN"/>
        </w:rPr>
        <w:t>.</w:t>
      </w:r>
      <w:r>
        <w:rPr>
          <w:rFonts w:hint="eastAsia" w:asciiTheme="minorEastAsia" w:hAnsiTheme="minorEastAsia" w:eastAsiaTheme="minorEastAsia" w:cstheme="minorEastAsia"/>
          <w:sz w:val="28"/>
          <w:szCs w:val="28"/>
        </w:rPr>
        <w:t>万源市人民医院党建阵地打造，体现万源市人民医院的现代化、智能等特性。</w:t>
      </w:r>
    </w:p>
    <w:p w14:paraId="02E8CBF8">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lang w:eastAsia="zh-CN"/>
        </w:rPr>
        <w:t>党建阵地</w:t>
      </w:r>
      <w:r>
        <w:rPr>
          <w:rFonts w:hint="eastAsia" w:asciiTheme="minorEastAsia" w:hAnsiTheme="minorEastAsia" w:eastAsiaTheme="minorEastAsia" w:cstheme="minorEastAsia"/>
          <w:sz w:val="28"/>
          <w:szCs w:val="28"/>
        </w:rPr>
        <w:t>设计、制作、安装服务成交供应商负责</w:t>
      </w:r>
      <w:r>
        <w:rPr>
          <w:rFonts w:hint="eastAsia" w:asciiTheme="minorEastAsia" w:hAnsiTheme="minorEastAsia" w:eastAsiaTheme="minorEastAsia" w:cstheme="minorEastAsia"/>
          <w:sz w:val="28"/>
          <w:szCs w:val="28"/>
          <w:lang w:eastAsia="zh-CN"/>
        </w:rPr>
        <w:t>万源市人民医院党建阵地</w:t>
      </w:r>
      <w:r>
        <w:rPr>
          <w:rFonts w:hint="eastAsia" w:asciiTheme="minorEastAsia" w:hAnsiTheme="minorEastAsia" w:eastAsiaTheme="minorEastAsia" w:cstheme="minorEastAsia"/>
          <w:sz w:val="28"/>
          <w:szCs w:val="28"/>
        </w:rPr>
        <w:t>设计、制作、安装服务。主要范围涉及</w:t>
      </w:r>
      <w:r>
        <w:rPr>
          <w:rFonts w:hint="eastAsia" w:asciiTheme="minorEastAsia" w:hAnsiTheme="minorEastAsia" w:eastAsiaTheme="minorEastAsia" w:cstheme="minorEastAsia"/>
          <w:sz w:val="28"/>
          <w:szCs w:val="28"/>
          <w:lang w:eastAsia="zh-CN"/>
        </w:rPr>
        <w:t>万源市人民医院</w:t>
      </w:r>
      <w:r>
        <w:rPr>
          <w:rFonts w:hint="eastAsia" w:asciiTheme="minorEastAsia" w:hAnsiTheme="minorEastAsia" w:eastAsiaTheme="minorEastAsia" w:cstheme="minorEastAsia"/>
          <w:sz w:val="28"/>
          <w:szCs w:val="28"/>
          <w:lang w:val="en-US" w:eastAsia="zh-CN"/>
        </w:rPr>
        <w:t>5楼党建文化阵地范围</w:t>
      </w:r>
      <w:r>
        <w:rPr>
          <w:rFonts w:hint="eastAsia" w:asciiTheme="minorEastAsia" w:hAnsiTheme="minorEastAsia" w:eastAsiaTheme="minorEastAsia" w:cstheme="minorEastAsia"/>
          <w:sz w:val="28"/>
          <w:szCs w:val="28"/>
        </w:rPr>
        <w:t>。</w:t>
      </w:r>
    </w:p>
    <w:p w14:paraId="79EF22AB">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rPr>
        <w:t>通过精美的图片、展览展示墙面、艺术元素等设计、制作和安装，有效提升</w:t>
      </w:r>
      <w:r>
        <w:rPr>
          <w:rFonts w:hint="eastAsia" w:asciiTheme="minorEastAsia" w:hAnsiTheme="minorEastAsia" w:eastAsiaTheme="minorEastAsia" w:cstheme="minorEastAsia"/>
          <w:sz w:val="28"/>
          <w:szCs w:val="28"/>
          <w:lang w:eastAsia="zh-CN"/>
        </w:rPr>
        <w:t>医院党建</w:t>
      </w:r>
      <w:r>
        <w:rPr>
          <w:rFonts w:hint="eastAsia" w:asciiTheme="minorEastAsia" w:hAnsiTheme="minorEastAsia" w:eastAsiaTheme="minorEastAsia" w:cstheme="minorEastAsia"/>
          <w:sz w:val="28"/>
          <w:szCs w:val="28"/>
        </w:rPr>
        <w:t>文化氛围。</w:t>
      </w:r>
    </w:p>
    <w:p w14:paraId="74C9231A">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4.</w:t>
      </w:r>
      <w:r>
        <w:rPr>
          <w:rFonts w:hint="eastAsia" w:asciiTheme="minorEastAsia" w:hAnsiTheme="minorEastAsia" w:eastAsiaTheme="minorEastAsia" w:cstheme="minorEastAsia"/>
          <w:sz w:val="28"/>
          <w:szCs w:val="28"/>
        </w:rPr>
        <w:t>设计方案与效果图因地制宜，能够融入</w:t>
      </w:r>
      <w:r>
        <w:rPr>
          <w:rFonts w:hint="eastAsia" w:asciiTheme="minorEastAsia" w:hAnsiTheme="minorEastAsia" w:eastAsiaTheme="minorEastAsia" w:cstheme="minorEastAsia"/>
          <w:sz w:val="28"/>
          <w:szCs w:val="28"/>
          <w:lang w:eastAsia="zh-CN"/>
        </w:rPr>
        <w:t>现有</w:t>
      </w:r>
      <w:r>
        <w:rPr>
          <w:rFonts w:hint="eastAsia" w:asciiTheme="minorEastAsia" w:hAnsiTheme="minorEastAsia" w:eastAsiaTheme="minorEastAsia" w:cstheme="minorEastAsia"/>
          <w:sz w:val="28"/>
          <w:szCs w:val="28"/>
        </w:rPr>
        <w:t>场地，整体美观、和谐、大方。</w:t>
      </w:r>
    </w:p>
    <w:p w14:paraId="061B13EE">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lang w:eastAsia="zh-CN"/>
        </w:rPr>
        <w:t>党建阵地</w:t>
      </w:r>
      <w:r>
        <w:rPr>
          <w:rFonts w:hint="eastAsia" w:asciiTheme="minorEastAsia" w:hAnsiTheme="minorEastAsia" w:eastAsiaTheme="minorEastAsia" w:cstheme="minorEastAsia"/>
          <w:sz w:val="28"/>
          <w:szCs w:val="28"/>
        </w:rPr>
        <w:t>展示内容饱满且丰富，版块、点位布局合理；科学分割并组合现有场地空间。</w:t>
      </w:r>
    </w:p>
    <w:p w14:paraId="57E4A782">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6.</w:t>
      </w:r>
      <w:r>
        <w:rPr>
          <w:rFonts w:hint="eastAsia" w:asciiTheme="minorEastAsia" w:hAnsiTheme="minorEastAsia" w:eastAsiaTheme="minorEastAsia" w:cstheme="minorEastAsia"/>
          <w:sz w:val="28"/>
          <w:szCs w:val="28"/>
        </w:rPr>
        <w:t>采用多重设计手法，整</w:t>
      </w:r>
      <w:r>
        <w:rPr>
          <w:rFonts w:hint="eastAsia" w:asciiTheme="minorEastAsia" w:hAnsiTheme="minorEastAsia" w:eastAsiaTheme="minorEastAsia" w:cstheme="minorEastAsia"/>
          <w:sz w:val="28"/>
          <w:szCs w:val="28"/>
          <w:lang w:eastAsia="zh-CN"/>
        </w:rPr>
        <w:t>层楼</w:t>
      </w:r>
      <w:r>
        <w:rPr>
          <w:rFonts w:hint="eastAsia" w:asciiTheme="minorEastAsia" w:hAnsiTheme="minorEastAsia" w:eastAsiaTheme="minorEastAsia" w:cstheme="minorEastAsia"/>
          <w:sz w:val="28"/>
          <w:szCs w:val="28"/>
        </w:rPr>
        <w:t>在统一主题下分点位实施，突出各</w:t>
      </w:r>
      <w:r>
        <w:rPr>
          <w:rFonts w:hint="eastAsia" w:asciiTheme="minorEastAsia" w:hAnsiTheme="minorEastAsia" w:eastAsiaTheme="minorEastAsia" w:cstheme="minorEastAsia"/>
          <w:sz w:val="28"/>
          <w:szCs w:val="28"/>
          <w:lang w:eastAsia="zh-CN"/>
        </w:rPr>
        <w:t>板块</w:t>
      </w:r>
      <w:r>
        <w:rPr>
          <w:rFonts w:hint="eastAsia" w:asciiTheme="minorEastAsia" w:hAnsiTheme="minorEastAsia" w:eastAsiaTheme="minorEastAsia" w:cstheme="minorEastAsia"/>
          <w:sz w:val="28"/>
          <w:szCs w:val="28"/>
        </w:rPr>
        <w:t>特色。</w:t>
      </w:r>
    </w:p>
    <w:p w14:paraId="5337FC31">
      <w:pPr>
        <w:keepNext w:val="0"/>
        <w:keepLines w:val="0"/>
        <w:pageBreakBefore w:val="0"/>
        <w:widowControl w:val="0"/>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rPr>
        <w:sectPr>
          <w:pgSz w:w="11906" w:h="16838"/>
          <w:pgMar w:top="1440" w:right="1800" w:bottom="1440" w:left="1800" w:header="851" w:footer="992" w:gutter="0"/>
          <w:pgNumType w:fmt="numberInDash"/>
          <w:cols w:space="425" w:num="1"/>
          <w:docGrid w:type="lines" w:linePitch="312" w:charSpace="0"/>
        </w:sectPr>
      </w:pPr>
      <w:r>
        <w:rPr>
          <w:rFonts w:hint="eastAsia" w:asciiTheme="minorEastAsia" w:hAnsiTheme="minorEastAsia" w:eastAsiaTheme="minorEastAsia" w:cstheme="minorEastAsia"/>
          <w:sz w:val="28"/>
          <w:szCs w:val="28"/>
          <w:lang w:val="en-US" w:eastAsia="zh-CN"/>
        </w:rPr>
        <w:t>7.</w:t>
      </w:r>
      <w:r>
        <w:rPr>
          <w:rFonts w:hint="eastAsia" w:asciiTheme="minorEastAsia" w:hAnsiTheme="minorEastAsia" w:eastAsiaTheme="minorEastAsia" w:cstheme="minorEastAsia"/>
          <w:sz w:val="28"/>
          <w:szCs w:val="28"/>
        </w:rPr>
        <w:t>设计融入时代元素、行业属性，彰显</w:t>
      </w:r>
      <w:r>
        <w:rPr>
          <w:rFonts w:hint="eastAsia" w:asciiTheme="minorEastAsia" w:hAnsiTheme="minorEastAsia" w:eastAsiaTheme="minorEastAsia" w:cstheme="minorEastAsia"/>
          <w:sz w:val="28"/>
          <w:szCs w:val="28"/>
          <w:lang w:eastAsia="zh-CN"/>
        </w:rPr>
        <w:t>医院</w:t>
      </w:r>
      <w:r>
        <w:rPr>
          <w:rFonts w:hint="eastAsia" w:asciiTheme="minorEastAsia" w:hAnsiTheme="minorEastAsia" w:eastAsiaTheme="minorEastAsia" w:cstheme="minorEastAsia"/>
          <w:sz w:val="28"/>
          <w:szCs w:val="28"/>
        </w:rPr>
        <w:t>文化特色；展示、传达信息全面，结合文字、图片等内容，达到内容展示全面覆盖的效果。</w:t>
      </w:r>
    </w:p>
    <w:p w14:paraId="79055C43">
      <w:pPr>
        <w:pStyle w:val="4"/>
        <w:pageBreakBefore w:val="0"/>
        <w:kinsoku/>
        <w:wordWrap/>
        <w:overflowPunct/>
        <w:topLinePunct w:val="0"/>
        <w:autoSpaceDE/>
        <w:autoSpaceDN/>
        <w:bidi w:val="0"/>
        <w:adjustRightInd/>
        <w:snapToGrid/>
        <w:spacing w:before="0" w:after="0" w:line="578" w:lineRule="exact"/>
        <w:ind w:firstLine="562" w:firstLineChars="200"/>
        <w:textAlignment w:val="auto"/>
        <w:rPr>
          <w:rFonts w:hint="eastAsia" w:ascii="宋体" w:hAnsi="宋体" w:cs="宋体"/>
          <w:color w:val="000000"/>
          <w:sz w:val="28"/>
          <w:szCs w:val="28"/>
          <w:highlight w:val="none"/>
          <w:lang w:eastAsia="zh-CN"/>
        </w:rPr>
      </w:pPr>
      <w:bookmarkStart w:id="139" w:name="_GoBack"/>
      <w:bookmarkEnd w:id="139"/>
      <w:bookmarkStart w:id="82" w:name="_Toc6752"/>
      <w:r>
        <w:rPr>
          <w:rFonts w:hint="eastAsia" w:ascii="宋体" w:hAnsi="宋体" w:cs="宋体"/>
          <w:color w:val="000000"/>
          <w:sz w:val="28"/>
          <w:szCs w:val="28"/>
          <w:highlight w:val="none"/>
          <w:lang w:eastAsia="zh-CN"/>
        </w:rPr>
        <w:t>（</w:t>
      </w:r>
      <w:r>
        <w:rPr>
          <w:rFonts w:hint="eastAsia" w:ascii="宋体" w:hAnsi="宋体" w:cs="宋体"/>
          <w:color w:val="000000"/>
          <w:sz w:val="28"/>
          <w:szCs w:val="28"/>
          <w:highlight w:val="none"/>
          <w:lang w:val="en-US" w:eastAsia="zh-CN"/>
        </w:rPr>
        <w:t>二</w:t>
      </w:r>
      <w:r>
        <w:rPr>
          <w:rFonts w:hint="eastAsia" w:ascii="宋体" w:hAnsi="宋体" w:cs="宋体"/>
          <w:color w:val="000000"/>
          <w:sz w:val="28"/>
          <w:szCs w:val="28"/>
          <w:highlight w:val="none"/>
          <w:lang w:eastAsia="zh-CN"/>
        </w:rPr>
        <w:t>）服务要求</w:t>
      </w:r>
      <w:bookmarkEnd w:id="82"/>
    </w:p>
    <w:p w14:paraId="61736F3A">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drawing>
          <wp:anchor distT="0" distB="0" distL="114300" distR="114300" simplePos="0" relativeHeight="251659264" behindDoc="1" locked="0" layoutInCell="1" allowOverlap="1">
            <wp:simplePos x="0" y="0"/>
            <wp:positionH relativeFrom="column">
              <wp:posOffset>-671195</wp:posOffset>
            </wp:positionH>
            <wp:positionV relativeFrom="paragraph">
              <wp:posOffset>201930</wp:posOffset>
            </wp:positionV>
            <wp:extent cx="10191115" cy="6552565"/>
            <wp:effectExtent l="0" t="0" r="635" b="635"/>
            <wp:wrapNone/>
            <wp:docPr id="4" name="图片 4" descr="万源市人民医院党建阵地打造设计方案(2)(1)_8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万源市人民医院党建阵地打造设计方案(2)(1)_8_00"/>
                    <pic:cNvPicPr>
                      <a:picLocks noChangeAspect="1"/>
                    </pic:cNvPicPr>
                  </pic:nvPicPr>
                  <pic:blipFill>
                    <a:blip r:embed="rId7"/>
                    <a:stretch>
                      <a:fillRect/>
                    </a:stretch>
                  </pic:blipFill>
                  <pic:spPr>
                    <a:xfrm>
                      <a:off x="0" y="0"/>
                      <a:ext cx="10191115" cy="6552565"/>
                    </a:xfrm>
                    <a:prstGeom prst="rect">
                      <a:avLst/>
                    </a:prstGeom>
                  </pic:spPr>
                </pic:pic>
              </a:graphicData>
            </a:graphic>
          </wp:anchor>
        </w:drawing>
      </w:r>
      <w:r>
        <w:rPr>
          <w:rFonts w:hint="eastAsia" w:asciiTheme="minorEastAsia" w:hAnsiTheme="minorEastAsia" w:eastAsiaTheme="minorEastAsia" w:cstheme="minorEastAsia"/>
          <w:sz w:val="28"/>
          <w:szCs w:val="28"/>
          <w:lang w:val="en-US" w:eastAsia="zh-CN"/>
        </w:rPr>
        <w:t>1.平面布局（仅供参考，供应商可根据现场情况提出合理修改方案）</w:t>
      </w:r>
    </w:p>
    <w:p w14:paraId="3BE155A4">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8"/>
          <w:szCs w:val="28"/>
          <w:lang w:eastAsia="zh-CN"/>
        </w:rPr>
        <w:sectPr>
          <w:pgSz w:w="16838" w:h="11906" w:orient="landscape"/>
          <w:pgMar w:top="1800" w:right="1440" w:bottom="1800" w:left="1440" w:header="851" w:footer="992" w:gutter="0"/>
          <w:pgNumType w:fmt="numberInDash"/>
          <w:cols w:space="425" w:num="1"/>
          <w:docGrid w:type="lines" w:linePitch="312" w:charSpace="0"/>
        </w:sectPr>
      </w:pPr>
    </w:p>
    <w:p w14:paraId="5F8E2E84">
      <w:pPr>
        <w:keepNext w:val="0"/>
        <w:keepLines w:val="0"/>
        <w:pageBreakBefore w:val="0"/>
        <w:widowControl w:val="0"/>
        <w:numPr>
          <w:ilvl w:val="0"/>
          <w:numId w:val="0"/>
        </w:numPr>
        <w:kinsoku/>
        <w:wordWrap/>
        <w:overflowPunct/>
        <w:topLinePunct w:val="0"/>
        <w:autoSpaceDE/>
        <w:autoSpaceDN/>
        <w:bidi w:val="0"/>
        <w:adjustRightInd/>
        <w:snapToGrid/>
        <w:spacing w:line="578" w:lineRule="exac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2.服务要求（供应商可根据现场情况提出合理修改方案）</w:t>
      </w:r>
    </w:p>
    <w:tbl>
      <w:tblPr>
        <w:tblStyle w:val="24"/>
        <w:tblW w:w="0" w:type="auto"/>
        <w:tblInd w:w="-3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0"/>
        <w:gridCol w:w="1291"/>
        <w:gridCol w:w="3625"/>
        <w:gridCol w:w="856"/>
        <w:gridCol w:w="1076"/>
      </w:tblGrid>
      <w:tr w14:paraId="6D755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tcPr>
          <w:p w14:paraId="1958DC50">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sz w:val="28"/>
                <w:szCs w:val="28"/>
                <w:vertAlign w:val="baseline"/>
                <w:lang w:eastAsia="zh-CN"/>
              </w:rPr>
              <w:t>主题</w:t>
            </w:r>
          </w:p>
        </w:tc>
        <w:tc>
          <w:tcPr>
            <w:tcW w:w="1291" w:type="dxa"/>
          </w:tcPr>
          <w:p w14:paraId="143D4DC9">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sz w:val="28"/>
                <w:szCs w:val="28"/>
                <w:vertAlign w:val="baseline"/>
                <w:lang w:eastAsia="zh-CN"/>
              </w:rPr>
              <w:t>位置</w:t>
            </w:r>
          </w:p>
        </w:tc>
        <w:tc>
          <w:tcPr>
            <w:tcW w:w="3625" w:type="dxa"/>
          </w:tcPr>
          <w:p w14:paraId="708F3F11">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sz w:val="28"/>
                <w:szCs w:val="28"/>
                <w:vertAlign w:val="baseline"/>
                <w:lang w:eastAsia="zh-CN"/>
              </w:rPr>
              <w:t>设计/材质/制作要求</w:t>
            </w:r>
          </w:p>
        </w:tc>
        <w:tc>
          <w:tcPr>
            <w:tcW w:w="856" w:type="dxa"/>
          </w:tcPr>
          <w:p w14:paraId="7E4FAA16">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default"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数量</w:t>
            </w:r>
          </w:p>
        </w:tc>
        <w:tc>
          <w:tcPr>
            <w:tcW w:w="1076" w:type="dxa"/>
          </w:tcPr>
          <w:p w14:paraId="05D7E9F8">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sz w:val="28"/>
                <w:szCs w:val="28"/>
                <w:vertAlign w:val="baseline"/>
                <w:lang w:val="en-US" w:eastAsia="zh-CN"/>
              </w:rPr>
              <w:t>单位</w:t>
            </w:r>
          </w:p>
        </w:tc>
      </w:tr>
      <w:tr w14:paraId="27217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vAlign w:val="center"/>
          </w:tcPr>
          <w:p w14:paraId="073934DB">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主题形象墙</w:t>
            </w:r>
          </w:p>
        </w:tc>
        <w:tc>
          <w:tcPr>
            <w:tcW w:w="1291" w:type="dxa"/>
            <w:vAlign w:val="center"/>
          </w:tcPr>
          <w:p w14:paraId="6F7BB00E">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S-01</w:t>
            </w:r>
          </w:p>
        </w:tc>
        <w:tc>
          <w:tcPr>
            <w:tcW w:w="3625" w:type="dxa"/>
            <w:vMerge w:val="restart"/>
          </w:tcPr>
          <w:p w14:paraId="1F13191B">
            <w:pPr>
              <w:keepNext w:val="0"/>
              <w:keepLines w:val="0"/>
              <w:pageBreakBefore w:val="0"/>
              <w:widowControl w:val="0"/>
              <w:numPr>
                <w:ilvl w:val="0"/>
                <w:numId w:val="2"/>
              </w:numPr>
              <w:kinsoku/>
              <w:wordWrap/>
              <w:overflowPunct/>
              <w:topLinePunct w:val="0"/>
              <w:autoSpaceDE/>
              <w:autoSpaceDN/>
              <w:bidi w:val="0"/>
              <w:adjustRightInd/>
              <w:snapToGrid/>
              <w:spacing w:line="578" w:lineRule="exact"/>
              <w:jc w:val="left"/>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制作要求：包括但不限于使用</w:t>
            </w:r>
            <w:r>
              <w:rPr>
                <w:rFonts w:hint="eastAsia" w:asciiTheme="minorEastAsia" w:hAnsiTheme="minorEastAsia" w:eastAsiaTheme="minorEastAsia" w:cstheme="minorEastAsia"/>
                <w:sz w:val="28"/>
                <w:szCs w:val="28"/>
                <w:lang w:eastAsia="zh-CN"/>
              </w:rPr>
              <w:t>铝合金、不锈钢、</w:t>
            </w:r>
            <w:r>
              <w:rPr>
                <w:rFonts w:hint="eastAsia" w:asciiTheme="minorEastAsia" w:hAnsiTheme="minorEastAsia" w:eastAsiaTheme="minorEastAsia" w:cstheme="minorEastAsia"/>
                <w:sz w:val="28"/>
                <w:szCs w:val="28"/>
              </w:rPr>
              <w:t>亚克力</w:t>
            </w:r>
            <w:r>
              <w:rPr>
                <w:rFonts w:hint="eastAsia" w:asciiTheme="minorEastAsia" w:hAnsiTheme="minorEastAsia" w:eastAsiaTheme="minorEastAsia" w:cstheme="minorEastAsia"/>
                <w:sz w:val="28"/>
                <w:szCs w:val="28"/>
                <w:lang w:eastAsia="zh-CN"/>
              </w:rPr>
              <w:t>板</w:t>
            </w:r>
            <w:r>
              <w:rPr>
                <w:rFonts w:hint="eastAsia" w:asciiTheme="minorEastAsia" w:hAnsiTheme="minorEastAsia" w:eastAsiaTheme="minorEastAsia" w:cstheme="minorEastAsia"/>
                <w:sz w:val="28"/>
                <w:szCs w:val="28"/>
              </w:rPr>
              <w:t>、高</w:t>
            </w:r>
            <w:r>
              <w:rPr>
                <w:rFonts w:hint="eastAsia" w:asciiTheme="minorEastAsia" w:hAnsiTheme="minorEastAsia" w:eastAsiaTheme="minorEastAsia" w:cstheme="minorEastAsia"/>
                <w:sz w:val="28"/>
                <w:szCs w:val="28"/>
                <w:lang w:eastAsia="zh-CN"/>
              </w:rPr>
              <w:t>分子板</w:t>
            </w:r>
            <w:r>
              <w:rPr>
                <w:rFonts w:hint="eastAsia" w:asciiTheme="minorEastAsia" w:hAnsiTheme="minorEastAsia" w:eastAsiaTheme="minorEastAsia" w:cstheme="minorEastAsia"/>
                <w:sz w:val="28"/>
                <w:szCs w:val="28"/>
              </w:rPr>
              <w:t>、艺术雕刻立体字</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 xml:space="preserve">烤漆、艺术造型烤漆、精品艺术宣绒布喷印等材质及工艺； </w:t>
            </w:r>
          </w:p>
          <w:p w14:paraId="51A408BF">
            <w:pPr>
              <w:keepNext w:val="0"/>
              <w:keepLines w:val="0"/>
              <w:pageBreakBefore w:val="0"/>
              <w:widowControl w:val="0"/>
              <w:numPr>
                <w:ilvl w:val="0"/>
                <w:numId w:val="2"/>
              </w:numPr>
              <w:kinsoku/>
              <w:wordWrap/>
              <w:overflowPunct/>
              <w:topLinePunct w:val="0"/>
              <w:autoSpaceDE/>
              <w:autoSpaceDN/>
              <w:bidi w:val="0"/>
              <w:adjustRightInd/>
              <w:snapToGrid/>
              <w:spacing w:line="578" w:lineRule="exact"/>
              <w:ind w:left="0" w:leftChars="0" w:firstLine="0" w:firstLineChars="0"/>
              <w:jc w:val="left"/>
              <w:textAlignment w:val="auto"/>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sz w:val="28"/>
                <w:szCs w:val="28"/>
              </w:rPr>
              <w:t>安装要求：</w:t>
            </w:r>
            <w:r>
              <w:rPr>
                <w:rFonts w:hint="eastAsia" w:asciiTheme="minorEastAsia" w:hAnsiTheme="minorEastAsia" w:eastAsiaTheme="minorEastAsia" w:cstheme="minorEastAsia"/>
                <w:sz w:val="28"/>
                <w:szCs w:val="28"/>
                <w:lang w:eastAsia="zh-CN"/>
              </w:rPr>
              <w:t>根据实际需要，进行墙面改造，电路改造，</w:t>
            </w:r>
            <w:r>
              <w:rPr>
                <w:rFonts w:hint="eastAsia" w:asciiTheme="minorEastAsia" w:hAnsiTheme="minorEastAsia" w:eastAsiaTheme="minorEastAsia" w:cstheme="minorEastAsia"/>
                <w:sz w:val="28"/>
                <w:szCs w:val="28"/>
                <w:lang w:val="en-US" w:eastAsia="zh-CN"/>
              </w:rPr>
              <w:t>LED安装</w:t>
            </w:r>
            <w:r>
              <w:rPr>
                <w:rFonts w:hint="eastAsia" w:asciiTheme="minorEastAsia" w:hAnsiTheme="minorEastAsia" w:eastAsiaTheme="minorEastAsia" w:cstheme="minorEastAsia"/>
                <w:sz w:val="28"/>
                <w:szCs w:val="28"/>
                <w:lang w:eastAsia="zh-CN"/>
              </w:rPr>
              <w:t>等。</w:t>
            </w:r>
            <w:r>
              <w:rPr>
                <w:rFonts w:hint="eastAsia" w:asciiTheme="minorEastAsia" w:hAnsiTheme="minorEastAsia" w:eastAsiaTheme="minorEastAsia" w:cstheme="minorEastAsia"/>
                <w:sz w:val="28"/>
                <w:szCs w:val="28"/>
              </w:rPr>
              <w:t>准确测量墙面的尺寸，运用激光测量仪，保持墙板垂直安装，并尽量缩小两片墙板之间的缝隙。需要在适当的位置安装多层物料时，确保墙面能够承受所安装物料的重量，并确保安装位置准确、牢固。</w:t>
            </w:r>
          </w:p>
        </w:tc>
        <w:tc>
          <w:tcPr>
            <w:tcW w:w="856" w:type="dxa"/>
            <w:vAlign w:val="center"/>
          </w:tcPr>
          <w:p w14:paraId="7306BC88">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default"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约33</w:t>
            </w:r>
          </w:p>
        </w:tc>
        <w:tc>
          <w:tcPr>
            <w:tcW w:w="1076" w:type="dxa"/>
            <w:vAlign w:val="center"/>
          </w:tcPr>
          <w:p w14:paraId="6084F639">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i w:val="0"/>
                <w:iCs w:val="0"/>
                <w:color w:val="000000"/>
                <w:kern w:val="0"/>
                <w:sz w:val="28"/>
                <w:szCs w:val="28"/>
                <w:u w:val="none"/>
                <w:lang w:val="en-US" w:eastAsia="zh-CN" w:bidi="ar"/>
              </w:rPr>
            </w:pPr>
            <w:r>
              <w:rPr>
                <w:rFonts w:hint="eastAsia" w:asciiTheme="minorEastAsia" w:hAnsiTheme="minorEastAsia" w:eastAsiaTheme="minorEastAsia" w:cstheme="minorEastAsia"/>
                <w:i w:val="0"/>
                <w:iCs w:val="0"/>
                <w:color w:val="000000"/>
                <w:kern w:val="0"/>
                <w:sz w:val="28"/>
                <w:szCs w:val="28"/>
                <w:u w:val="none"/>
                <w:lang w:val="en-US" w:eastAsia="zh-CN" w:bidi="ar"/>
              </w:rPr>
              <w:t>平方米</w:t>
            </w:r>
          </w:p>
        </w:tc>
      </w:tr>
      <w:tr w14:paraId="73443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vAlign w:val="center"/>
          </w:tcPr>
          <w:p w14:paraId="52633473">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荣誉墙</w:t>
            </w:r>
          </w:p>
        </w:tc>
        <w:tc>
          <w:tcPr>
            <w:tcW w:w="1291" w:type="dxa"/>
            <w:vAlign w:val="center"/>
          </w:tcPr>
          <w:p w14:paraId="72CDFE60">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S-02</w:t>
            </w:r>
          </w:p>
        </w:tc>
        <w:tc>
          <w:tcPr>
            <w:tcW w:w="3625" w:type="dxa"/>
            <w:vMerge w:val="continue"/>
          </w:tcPr>
          <w:p w14:paraId="3CEB809A">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p>
        </w:tc>
        <w:tc>
          <w:tcPr>
            <w:tcW w:w="856" w:type="dxa"/>
            <w:vAlign w:val="center"/>
          </w:tcPr>
          <w:p w14:paraId="6816E33D">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default"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约14</w:t>
            </w:r>
          </w:p>
        </w:tc>
        <w:tc>
          <w:tcPr>
            <w:tcW w:w="1076" w:type="dxa"/>
            <w:vAlign w:val="center"/>
          </w:tcPr>
          <w:p w14:paraId="7CE5BF29">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i w:val="0"/>
                <w:iCs w:val="0"/>
                <w:color w:val="000000"/>
                <w:kern w:val="0"/>
                <w:sz w:val="28"/>
                <w:szCs w:val="28"/>
                <w:u w:val="none"/>
                <w:lang w:val="en-US" w:eastAsia="zh-CN" w:bidi="ar"/>
              </w:rPr>
            </w:pPr>
            <w:r>
              <w:rPr>
                <w:rFonts w:hint="eastAsia" w:asciiTheme="minorEastAsia" w:hAnsiTheme="minorEastAsia" w:eastAsiaTheme="minorEastAsia" w:cstheme="minorEastAsia"/>
                <w:i w:val="0"/>
                <w:iCs w:val="0"/>
                <w:color w:val="000000"/>
                <w:kern w:val="0"/>
                <w:sz w:val="28"/>
                <w:szCs w:val="28"/>
                <w:u w:val="none"/>
                <w:lang w:val="en-US" w:eastAsia="zh-CN" w:bidi="ar"/>
              </w:rPr>
              <w:t>平方米</w:t>
            </w:r>
          </w:p>
        </w:tc>
      </w:tr>
      <w:tr w14:paraId="2D46F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vAlign w:val="center"/>
          </w:tcPr>
          <w:p w14:paraId="19A724B5">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组织架构</w:t>
            </w:r>
          </w:p>
        </w:tc>
        <w:tc>
          <w:tcPr>
            <w:tcW w:w="1291" w:type="dxa"/>
            <w:vAlign w:val="center"/>
          </w:tcPr>
          <w:p w14:paraId="5E360AD0">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S-03</w:t>
            </w:r>
          </w:p>
        </w:tc>
        <w:tc>
          <w:tcPr>
            <w:tcW w:w="3625" w:type="dxa"/>
            <w:vMerge w:val="continue"/>
          </w:tcPr>
          <w:p w14:paraId="3621277D">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p>
        </w:tc>
        <w:tc>
          <w:tcPr>
            <w:tcW w:w="856" w:type="dxa"/>
            <w:vAlign w:val="center"/>
          </w:tcPr>
          <w:p w14:paraId="42F5716D">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default"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约14</w:t>
            </w:r>
          </w:p>
        </w:tc>
        <w:tc>
          <w:tcPr>
            <w:tcW w:w="1076" w:type="dxa"/>
            <w:vAlign w:val="center"/>
          </w:tcPr>
          <w:p w14:paraId="4F5570A1">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i w:val="0"/>
                <w:iCs w:val="0"/>
                <w:color w:val="000000"/>
                <w:kern w:val="0"/>
                <w:sz w:val="28"/>
                <w:szCs w:val="28"/>
                <w:u w:val="none"/>
                <w:lang w:val="en-US" w:eastAsia="zh-CN" w:bidi="ar"/>
              </w:rPr>
            </w:pPr>
            <w:r>
              <w:rPr>
                <w:rFonts w:hint="eastAsia" w:asciiTheme="minorEastAsia" w:hAnsiTheme="minorEastAsia" w:eastAsiaTheme="minorEastAsia" w:cstheme="minorEastAsia"/>
                <w:i w:val="0"/>
                <w:iCs w:val="0"/>
                <w:color w:val="000000"/>
                <w:kern w:val="0"/>
                <w:sz w:val="28"/>
                <w:szCs w:val="28"/>
                <w:u w:val="none"/>
                <w:lang w:val="en-US" w:eastAsia="zh-CN" w:bidi="ar"/>
              </w:rPr>
              <w:t>平方米</w:t>
            </w:r>
          </w:p>
        </w:tc>
      </w:tr>
      <w:tr w14:paraId="08026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vAlign w:val="center"/>
          </w:tcPr>
          <w:p w14:paraId="0595608F">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院史.院徽</w:t>
            </w:r>
          </w:p>
        </w:tc>
        <w:tc>
          <w:tcPr>
            <w:tcW w:w="1291" w:type="dxa"/>
            <w:vAlign w:val="center"/>
          </w:tcPr>
          <w:p w14:paraId="6D7BEFB3">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S-04.05</w:t>
            </w:r>
          </w:p>
        </w:tc>
        <w:tc>
          <w:tcPr>
            <w:tcW w:w="3625" w:type="dxa"/>
            <w:vMerge w:val="continue"/>
          </w:tcPr>
          <w:p w14:paraId="7FC8CFA7">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p>
        </w:tc>
        <w:tc>
          <w:tcPr>
            <w:tcW w:w="856" w:type="dxa"/>
            <w:vAlign w:val="center"/>
          </w:tcPr>
          <w:p w14:paraId="4899D43E">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default"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约30</w:t>
            </w:r>
          </w:p>
        </w:tc>
        <w:tc>
          <w:tcPr>
            <w:tcW w:w="1076" w:type="dxa"/>
            <w:vAlign w:val="center"/>
          </w:tcPr>
          <w:p w14:paraId="16AE0990">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i w:val="0"/>
                <w:iCs w:val="0"/>
                <w:color w:val="000000"/>
                <w:kern w:val="0"/>
                <w:sz w:val="28"/>
                <w:szCs w:val="28"/>
                <w:u w:val="none"/>
                <w:lang w:val="en-US" w:eastAsia="zh-CN" w:bidi="ar"/>
              </w:rPr>
            </w:pPr>
            <w:r>
              <w:rPr>
                <w:rFonts w:hint="eastAsia" w:asciiTheme="minorEastAsia" w:hAnsiTheme="minorEastAsia" w:eastAsiaTheme="minorEastAsia" w:cstheme="minorEastAsia"/>
                <w:i w:val="0"/>
                <w:iCs w:val="0"/>
                <w:color w:val="000000"/>
                <w:kern w:val="0"/>
                <w:sz w:val="28"/>
                <w:szCs w:val="28"/>
                <w:u w:val="none"/>
                <w:lang w:val="en-US" w:eastAsia="zh-CN" w:bidi="ar"/>
              </w:rPr>
              <w:t>平方米</w:t>
            </w:r>
          </w:p>
        </w:tc>
      </w:tr>
      <w:tr w14:paraId="54796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vAlign w:val="center"/>
          </w:tcPr>
          <w:p w14:paraId="5FD902BC">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院歌</w:t>
            </w:r>
          </w:p>
        </w:tc>
        <w:tc>
          <w:tcPr>
            <w:tcW w:w="1291" w:type="dxa"/>
            <w:vAlign w:val="center"/>
          </w:tcPr>
          <w:p w14:paraId="5F0B7ADB">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S-06</w:t>
            </w:r>
          </w:p>
        </w:tc>
        <w:tc>
          <w:tcPr>
            <w:tcW w:w="3625" w:type="dxa"/>
            <w:vMerge w:val="continue"/>
          </w:tcPr>
          <w:p w14:paraId="11DC7293">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p>
        </w:tc>
        <w:tc>
          <w:tcPr>
            <w:tcW w:w="856" w:type="dxa"/>
            <w:vAlign w:val="center"/>
          </w:tcPr>
          <w:p w14:paraId="66A50762">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default"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约15</w:t>
            </w:r>
          </w:p>
        </w:tc>
        <w:tc>
          <w:tcPr>
            <w:tcW w:w="1076" w:type="dxa"/>
            <w:vAlign w:val="center"/>
          </w:tcPr>
          <w:p w14:paraId="3766E446">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i w:val="0"/>
                <w:iCs w:val="0"/>
                <w:color w:val="000000"/>
                <w:kern w:val="0"/>
                <w:sz w:val="28"/>
                <w:szCs w:val="28"/>
                <w:u w:val="none"/>
                <w:lang w:val="en-US" w:eastAsia="zh-CN" w:bidi="ar"/>
              </w:rPr>
            </w:pPr>
            <w:r>
              <w:rPr>
                <w:rFonts w:hint="eastAsia" w:asciiTheme="minorEastAsia" w:hAnsiTheme="minorEastAsia" w:eastAsiaTheme="minorEastAsia" w:cstheme="minorEastAsia"/>
                <w:i w:val="0"/>
                <w:iCs w:val="0"/>
                <w:color w:val="000000"/>
                <w:kern w:val="0"/>
                <w:sz w:val="28"/>
                <w:szCs w:val="28"/>
                <w:u w:val="none"/>
                <w:lang w:val="en-US" w:eastAsia="zh-CN" w:bidi="ar"/>
              </w:rPr>
              <w:t>平方米</w:t>
            </w:r>
          </w:p>
        </w:tc>
      </w:tr>
      <w:tr w14:paraId="26EB5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vAlign w:val="center"/>
          </w:tcPr>
          <w:p w14:paraId="3F6B6F30">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院训</w:t>
            </w:r>
          </w:p>
        </w:tc>
        <w:tc>
          <w:tcPr>
            <w:tcW w:w="1291" w:type="dxa"/>
            <w:vAlign w:val="center"/>
          </w:tcPr>
          <w:p w14:paraId="524FE95E">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S-07</w:t>
            </w:r>
          </w:p>
        </w:tc>
        <w:tc>
          <w:tcPr>
            <w:tcW w:w="3625" w:type="dxa"/>
            <w:vMerge w:val="continue"/>
          </w:tcPr>
          <w:p w14:paraId="12314BFF">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p>
        </w:tc>
        <w:tc>
          <w:tcPr>
            <w:tcW w:w="856" w:type="dxa"/>
            <w:vAlign w:val="center"/>
          </w:tcPr>
          <w:p w14:paraId="37BD2FF8">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约18</w:t>
            </w:r>
          </w:p>
        </w:tc>
        <w:tc>
          <w:tcPr>
            <w:tcW w:w="1076" w:type="dxa"/>
            <w:vAlign w:val="center"/>
          </w:tcPr>
          <w:p w14:paraId="019D3C7C">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i w:val="0"/>
                <w:iCs w:val="0"/>
                <w:color w:val="000000"/>
                <w:kern w:val="0"/>
                <w:sz w:val="28"/>
                <w:szCs w:val="28"/>
                <w:u w:val="none"/>
                <w:lang w:val="en-US" w:eastAsia="zh-CN" w:bidi="ar"/>
              </w:rPr>
            </w:pPr>
            <w:r>
              <w:rPr>
                <w:rFonts w:hint="eastAsia" w:asciiTheme="minorEastAsia" w:hAnsiTheme="minorEastAsia" w:eastAsiaTheme="minorEastAsia" w:cstheme="minorEastAsia"/>
                <w:i w:val="0"/>
                <w:iCs w:val="0"/>
                <w:color w:val="000000"/>
                <w:kern w:val="0"/>
                <w:sz w:val="28"/>
                <w:szCs w:val="28"/>
                <w:u w:val="none"/>
                <w:lang w:val="en-US" w:eastAsia="zh-CN" w:bidi="ar"/>
              </w:rPr>
              <w:t>平方米</w:t>
            </w:r>
          </w:p>
        </w:tc>
      </w:tr>
      <w:tr w14:paraId="4C3416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vAlign w:val="center"/>
          </w:tcPr>
          <w:p w14:paraId="22B40C7F">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服务台</w:t>
            </w:r>
          </w:p>
        </w:tc>
        <w:tc>
          <w:tcPr>
            <w:tcW w:w="1291" w:type="dxa"/>
            <w:vAlign w:val="center"/>
          </w:tcPr>
          <w:p w14:paraId="158F2733">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S-08</w:t>
            </w:r>
          </w:p>
        </w:tc>
        <w:tc>
          <w:tcPr>
            <w:tcW w:w="3625" w:type="dxa"/>
            <w:vMerge w:val="continue"/>
          </w:tcPr>
          <w:p w14:paraId="4FC5E5D7">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p>
        </w:tc>
        <w:tc>
          <w:tcPr>
            <w:tcW w:w="856" w:type="dxa"/>
            <w:vAlign w:val="center"/>
          </w:tcPr>
          <w:p w14:paraId="7A56A02B">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default"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约14</w:t>
            </w:r>
          </w:p>
        </w:tc>
        <w:tc>
          <w:tcPr>
            <w:tcW w:w="1076" w:type="dxa"/>
            <w:vAlign w:val="center"/>
          </w:tcPr>
          <w:p w14:paraId="36E82E13">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i w:val="0"/>
                <w:iCs w:val="0"/>
                <w:color w:val="000000"/>
                <w:kern w:val="0"/>
                <w:sz w:val="28"/>
                <w:szCs w:val="28"/>
                <w:u w:val="none"/>
                <w:lang w:val="en-US" w:eastAsia="zh-CN" w:bidi="ar"/>
              </w:rPr>
            </w:pPr>
            <w:r>
              <w:rPr>
                <w:rFonts w:hint="eastAsia" w:asciiTheme="minorEastAsia" w:hAnsiTheme="minorEastAsia" w:eastAsiaTheme="minorEastAsia" w:cstheme="minorEastAsia"/>
                <w:i w:val="0"/>
                <w:iCs w:val="0"/>
                <w:color w:val="000000"/>
                <w:kern w:val="0"/>
                <w:sz w:val="28"/>
                <w:szCs w:val="28"/>
                <w:u w:val="none"/>
                <w:lang w:val="en-US" w:eastAsia="zh-CN" w:bidi="ar"/>
              </w:rPr>
              <w:t>平方米</w:t>
            </w:r>
          </w:p>
        </w:tc>
      </w:tr>
      <w:tr w14:paraId="7D26D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vAlign w:val="center"/>
          </w:tcPr>
          <w:p w14:paraId="3E23A9CE">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院赋</w:t>
            </w:r>
          </w:p>
        </w:tc>
        <w:tc>
          <w:tcPr>
            <w:tcW w:w="1291" w:type="dxa"/>
            <w:vAlign w:val="center"/>
          </w:tcPr>
          <w:p w14:paraId="7DCE14E7">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S-09</w:t>
            </w:r>
          </w:p>
        </w:tc>
        <w:tc>
          <w:tcPr>
            <w:tcW w:w="3625" w:type="dxa"/>
            <w:vMerge w:val="continue"/>
          </w:tcPr>
          <w:p w14:paraId="6B5E7069">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p>
        </w:tc>
        <w:tc>
          <w:tcPr>
            <w:tcW w:w="856" w:type="dxa"/>
            <w:vAlign w:val="center"/>
          </w:tcPr>
          <w:p w14:paraId="2E018C42">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default"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约21</w:t>
            </w:r>
          </w:p>
        </w:tc>
        <w:tc>
          <w:tcPr>
            <w:tcW w:w="1076" w:type="dxa"/>
            <w:vAlign w:val="center"/>
          </w:tcPr>
          <w:p w14:paraId="0DE22EBD">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i w:val="0"/>
                <w:iCs w:val="0"/>
                <w:color w:val="000000"/>
                <w:kern w:val="0"/>
                <w:sz w:val="28"/>
                <w:szCs w:val="28"/>
                <w:u w:val="none"/>
                <w:lang w:val="en-US" w:eastAsia="zh-CN" w:bidi="ar"/>
              </w:rPr>
            </w:pPr>
            <w:r>
              <w:rPr>
                <w:rFonts w:hint="eastAsia" w:asciiTheme="minorEastAsia" w:hAnsiTheme="minorEastAsia" w:eastAsiaTheme="minorEastAsia" w:cstheme="minorEastAsia"/>
                <w:i w:val="0"/>
                <w:iCs w:val="0"/>
                <w:color w:val="000000"/>
                <w:kern w:val="0"/>
                <w:sz w:val="28"/>
                <w:szCs w:val="28"/>
                <w:u w:val="none"/>
                <w:lang w:val="en-US" w:eastAsia="zh-CN" w:bidi="ar"/>
              </w:rPr>
              <w:t>平方米</w:t>
            </w:r>
          </w:p>
        </w:tc>
      </w:tr>
      <w:tr w14:paraId="03EE5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vAlign w:val="center"/>
          </w:tcPr>
          <w:p w14:paraId="65E717A3">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院风</w:t>
            </w:r>
          </w:p>
        </w:tc>
        <w:tc>
          <w:tcPr>
            <w:tcW w:w="1291" w:type="dxa"/>
            <w:vAlign w:val="center"/>
          </w:tcPr>
          <w:p w14:paraId="2C87F0F5">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S-10</w:t>
            </w:r>
          </w:p>
        </w:tc>
        <w:tc>
          <w:tcPr>
            <w:tcW w:w="3625" w:type="dxa"/>
            <w:vMerge w:val="continue"/>
          </w:tcPr>
          <w:p w14:paraId="0EC4D910">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p>
        </w:tc>
        <w:tc>
          <w:tcPr>
            <w:tcW w:w="856" w:type="dxa"/>
            <w:vAlign w:val="center"/>
          </w:tcPr>
          <w:p w14:paraId="3336B244">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default"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约18</w:t>
            </w:r>
          </w:p>
        </w:tc>
        <w:tc>
          <w:tcPr>
            <w:tcW w:w="1076" w:type="dxa"/>
            <w:vAlign w:val="center"/>
          </w:tcPr>
          <w:p w14:paraId="5BF5178B">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i w:val="0"/>
                <w:iCs w:val="0"/>
                <w:color w:val="000000"/>
                <w:kern w:val="0"/>
                <w:sz w:val="28"/>
                <w:szCs w:val="28"/>
                <w:u w:val="none"/>
                <w:lang w:val="en-US" w:eastAsia="zh-CN" w:bidi="ar"/>
              </w:rPr>
            </w:pPr>
            <w:r>
              <w:rPr>
                <w:rFonts w:hint="eastAsia" w:asciiTheme="minorEastAsia" w:hAnsiTheme="minorEastAsia" w:eastAsiaTheme="minorEastAsia" w:cstheme="minorEastAsia"/>
                <w:i w:val="0"/>
                <w:iCs w:val="0"/>
                <w:color w:val="000000"/>
                <w:kern w:val="0"/>
                <w:sz w:val="28"/>
                <w:szCs w:val="28"/>
                <w:u w:val="none"/>
                <w:lang w:val="en-US" w:eastAsia="zh-CN" w:bidi="ar"/>
              </w:rPr>
              <w:t>平方米</w:t>
            </w:r>
          </w:p>
        </w:tc>
      </w:tr>
      <w:tr w14:paraId="72759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vAlign w:val="center"/>
          </w:tcPr>
          <w:p w14:paraId="3E5849A0">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党员风采</w:t>
            </w:r>
          </w:p>
        </w:tc>
        <w:tc>
          <w:tcPr>
            <w:tcW w:w="1291" w:type="dxa"/>
            <w:vAlign w:val="center"/>
          </w:tcPr>
          <w:p w14:paraId="4CC731BA">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S-11</w:t>
            </w:r>
          </w:p>
        </w:tc>
        <w:tc>
          <w:tcPr>
            <w:tcW w:w="3625" w:type="dxa"/>
            <w:vMerge w:val="continue"/>
          </w:tcPr>
          <w:p w14:paraId="261CAFC7">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p>
        </w:tc>
        <w:tc>
          <w:tcPr>
            <w:tcW w:w="856" w:type="dxa"/>
            <w:vAlign w:val="center"/>
          </w:tcPr>
          <w:p w14:paraId="0C45EA6C">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约20</w:t>
            </w:r>
          </w:p>
        </w:tc>
        <w:tc>
          <w:tcPr>
            <w:tcW w:w="1076" w:type="dxa"/>
            <w:vAlign w:val="center"/>
          </w:tcPr>
          <w:p w14:paraId="236CD1E9">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i w:val="0"/>
                <w:iCs w:val="0"/>
                <w:color w:val="000000"/>
                <w:kern w:val="0"/>
                <w:sz w:val="28"/>
                <w:szCs w:val="28"/>
                <w:u w:val="none"/>
                <w:lang w:val="en-US" w:eastAsia="zh-CN" w:bidi="ar"/>
              </w:rPr>
            </w:pPr>
            <w:r>
              <w:rPr>
                <w:rFonts w:hint="eastAsia" w:asciiTheme="minorEastAsia" w:hAnsiTheme="minorEastAsia" w:eastAsiaTheme="minorEastAsia" w:cstheme="minorEastAsia"/>
                <w:i w:val="0"/>
                <w:iCs w:val="0"/>
                <w:color w:val="000000"/>
                <w:kern w:val="0"/>
                <w:sz w:val="28"/>
                <w:szCs w:val="28"/>
                <w:u w:val="none"/>
                <w:lang w:val="en-US" w:eastAsia="zh-CN" w:bidi="ar"/>
              </w:rPr>
              <w:t>平方米</w:t>
            </w:r>
          </w:p>
        </w:tc>
      </w:tr>
      <w:tr w14:paraId="6E1CA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vAlign w:val="center"/>
          </w:tcPr>
          <w:p w14:paraId="7B140592">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党建主题字</w:t>
            </w:r>
          </w:p>
        </w:tc>
        <w:tc>
          <w:tcPr>
            <w:tcW w:w="1291" w:type="dxa"/>
            <w:vAlign w:val="center"/>
          </w:tcPr>
          <w:p w14:paraId="4542589F">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S-12</w:t>
            </w:r>
          </w:p>
        </w:tc>
        <w:tc>
          <w:tcPr>
            <w:tcW w:w="3625" w:type="dxa"/>
            <w:vMerge w:val="continue"/>
          </w:tcPr>
          <w:p w14:paraId="04ECBAB1">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p>
        </w:tc>
        <w:tc>
          <w:tcPr>
            <w:tcW w:w="856" w:type="dxa"/>
            <w:vAlign w:val="center"/>
          </w:tcPr>
          <w:p w14:paraId="08ED2829">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default"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约18</w:t>
            </w:r>
          </w:p>
        </w:tc>
        <w:tc>
          <w:tcPr>
            <w:tcW w:w="1076" w:type="dxa"/>
            <w:vAlign w:val="center"/>
          </w:tcPr>
          <w:p w14:paraId="4211E169">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i w:val="0"/>
                <w:iCs w:val="0"/>
                <w:color w:val="000000"/>
                <w:kern w:val="0"/>
                <w:sz w:val="28"/>
                <w:szCs w:val="28"/>
                <w:u w:val="none"/>
                <w:lang w:val="en-US" w:eastAsia="zh-CN" w:bidi="ar"/>
              </w:rPr>
            </w:pPr>
            <w:r>
              <w:rPr>
                <w:rFonts w:hint="eastAsia" w:asciiTheme="minorEastAsia" w:hAnsiTheme="minorEastAsia" w:eastAsiaTheme="minorEastAsia" w:cstheme="minorEastAsia"/>
                <w:i w:val="0"/>
                <w:iCs w:val="0"/>
                <w:color w:val="000000"/>
                <w:kern w:val="0"/>
                <w:sz w:val="28"/>
                <w:szCs w:val="28"/>
                <w:u w:val="none"/>
                <w:lang w:val="en-US" w:eastAsia="zh-CN" w:bidi="ar"/>
              </w:rPr>
              <w:t>平方米</w:t>
            </w:r>
          </w:p>
        </w:tc>
      </w:tr>
      <w:tr w14:paraId="479DB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vAlign w:val="center"/>
          </w:tcPr>
          <w:p w14:paraId="6FB238A6">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统战党建阵地</w:t>
            </w:r>
          </w:p>
        </w:tc>
        <w:tc>
          <w:tcPr>
            <w:tcW w:w="1291" w:type="dxa"/>
            <w:vAlign w:val="center"/>
          </w:tcPr>
          <w:p w14:paraId="6A511853">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S-13</w:t>
            </w:r>
          </w:p>
        </w:tc>
        <w:tc>
          <w:tcPr>
            <w:tcW w:w="3625" w:type="dxa"/>
            <w:vMerge w:val="continue"/>
          </w:tcPr>
          <w:p w14:paraId="763749F3">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p>
        </w:tc>
        <w:tc>
          <w:tcPr>
            <w:tcW w:w="856" w:type="dxa"/>
            <w:vAlign w:val="center"/>
          </w:tcPr>
          <w:p w14:paraId="7A42736E">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default"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约16</w:t>
            </w:r>
          </w:p>
        </w:tc>
        <w:tc>
          <w:tcPr>
            <w:tcW w:w="1076" w:type="dxa"/>
            <w:vAlign w:val="center"/>
          </w:tcPr>
          <w:p w14:paraId="475D8C52">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i w:val="0"/>
                <w:iCs w:val="0"/>
                <w:color w:val="000000"/>
                <w:kern w:val="0"/>
                <w:sz w:val="28"/>
                <w:szCs w:val="28"/>
                <w:u w:val="none"/>
                <w:lang w:val="en-US" w:eastAsia="zh-CN" w:bidi="ar"/>
              </w:rPr>
            </w:pPr>
            <w:r>
              <w:rPr>
                <w:rFonts w:hint="eastAsia" w:asciiTheme="minorEastAsia" w:hAnsiTheme="minorEastAsia" w:eastAsiaTheme="minorEastAsia" w:cstheme="minorEastAsia"/>
                <w:i w:val="0"/>
                <w:iCs w:val="0"/>
                <w:color w:val="000000"/>
                <w:kern w:val="0"/>
                <w:sz w:val="28"/>
                <w:szCs w:val="28"/>
                <w:u w:val="none"/>
                <w:lang w:val="en-US" w:eastAsia="zh-CN" w:bidi="ar"/>
              </w:rPr>
              <w:t>平方米</w:t>
            </w:r>
          </w:p>
        </w:tc>
      </w:tr>
      <w:tr w14:paraId="417BA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vAlign w:val="center"/>
          </w:tcPr>
          <w:p w14:paraId="6DAB7C66">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党风廉政党建阵地</w:t>
            </w:r>
          </w:p>
        </w:tc>
        <w:tc>
          <w:tcPr>
            <w:tcW w:w="1291" w:type="dxa"/>
            <w:vAlign w:val="center"/>
          </w:tcPr>
          <w:p w14:paraId="4C7F3E56">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S-14</w:t>
            </w:r>
          </w:p>
        </w:tc>
        <w:tc>
          <w:tcPr>
            <w:tcW w:w="3625" w:type="dxa"/>
            <w:vMerge w:val="continue"/>
          </w:tcPr>
          <w:p w14:paraId="7E98BDAD">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p>
        </w:tc>
        <w:tc>
          <w:tcPr>
            <w:tcW w:w="856" w:type="dxa"/>
            <w:vAlign w:val="center"/>
          </w:tcPr>
          <w:p w14:paraId="5830ED52">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default"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约20</w:t>
            </w:r>
          </w:p>
        </w:tc>
        <w:tc>
          <w:tcPr>
            <w:tcW w:w="1076" w:type="dxa"/>
            <w:vAlign w:val="center"/>
          </w:tcPr>
          <w:p w14:paraId="5A5BC0BF">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i w:val="0"/>
                <w:iCs w:val="0"/>
                <w:color w:val="000000"/>
                <w:kern w:val="0"/>
                <w:sz w:val="28"/>
                <w:szCs w:val="28"/>
                <w:u w:val="none"/>
                <w:lang w:val="en-US" w:eastAsia="zh-CN" w:bidi="ar"/>
              </w:rPr>
            </w:pPr>
            <w:r>
              <w:rPr>
                <w:rFonts w:hint="eastAsia" w:asciiTheme="minorEastAsia" w:hAnsiTheme="minorEastAsia" w:eastAsiaTheme="minorEastAsia" w:cstheme="minorEastAsia"/>
                <w:i w:val="0"/>
                <w:iCs w:val="0"/>
                <w:color w:val="000000"/>
                <w:kern w:val="0"/>
                <w:sz w:val="28"/>
                <w:szCs w:val="28"/>
                <w:u w:val="none"/>
                <w:lang w:val="en-US" w:eastAsia="zh-CN" w:bidi="ar"/>
              </w:rPr>
              <w:t>平方米</w:t>
            </w:r>
          </w:p>
        </w:tc>
      </w:tr>
      <w:tr w14:paraId="145CD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vAlign w:val="center"/>
          </w:tcPr>
          <w:p w14:paraId="1A593A84">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意识形态党建阵地</w:t>
            </w:r>
          </w:p>
        </w:tc>
        <w:tc>
          <w:tcPr>
            <w:tcW w:w="1291" w:type="dxa"/>
            <w:vAlign w:val="center"/>
          </w:tcPr>
          <w:p w14:paraId="49166E51">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S-15</w:t>
            </w:r>
          </w:p>
        </w:tc>
        <w:tc>
          <w:tcPr>
            <w:tcW w:w="3625" w:type="dxa"/>
            <w:vMerge w:val="continue"/>
          </w:tcPr>
          <w:p w14:paraId="1A5228FF">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p>
        </w:tc>
        <w:tc>
          <w:tcPr>
            <w:tcW w:w="856" w:type="dxa"/>
            <w:vAlign w:val="center"/>
          </w:tcPr>
          <w:p w14:paraId="7D9341B4">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default"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约17</w:t>
            </w:r>
          </w:p>
        </w:tc>
        <w:tc>
          <w:tcPr>
            <w:tcW w:w="1076" w:type="dxa"/>
            <w:vAlign w:val="center"/>
          </w:tcPr>
          <w:p w14:paraId="2429EBA5">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i w:val="0"/>
                <w:iCs w:val="0"/>
                <w:color w:val="000000"/>
                <w:kern w:val="0"/>
                <w:sz w:val="28"/>
                <w:szCs w:val="28"/>
                <w:u w:val="none"/>
                <w:lang w:val="en-US" w:eastAsia="zh-CN" w:bidi="ar"/>
              </w:rPr>
            </w:pPr>
            <w:r>
              <w:rPr>
                <w:rFonts w:hint="eastAsia" w:asciiTheme="minorEastAsia" w:hAnsiTheme="minorEastAsia" w:eastAsiaTheme="minorEastAsia" w:cstheme="minorEastAsia"/>
                <w:i w:val="0"/>
                <w:iCs w:val="0"/>
                <w:color w:val="000000"/>
                <w:kern w:val="0"/>
                <w:sz w:val="28"/>
                <w:szCs w:val="28"/>
                <w:u w:val="none"/>
                <w:lang w:val="en-US" w:eastAsia="zh-CN" w:bidi="ar"/>
              </w:rPr>
              <w:t>平方米</w:t>
            </w:r>
          </w:p>
        </w:tc>
      </w:tr>
      <w:tr w14:paraId="3C3BB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vAlign w:val="center"/>
          </w:tcPr>
          <w:p w14:paraId="07C2389B">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卷轴标语</w:t>
            </w:r>
          </w:p>
        </w:tc>
        <w:tc>
          <w:tcPr>
            <w:tcW w:w="1291" w:type="dxa"/>
            <w:vAlign w:val="center"/>
          </w:tcPr>
          <w:p w14:paraId="6E416224">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S-16</w:t>
            </w:r>
          </w:p>
        </w:tc>
        <w:tc>
          <w:tcPr>
            <w:tcW w:w="3625" w:type="dxa"/>
            <w:vMerge w:val="continue"/>
          </w:tcPr>
          <w:p w14:paraId="7EAFBF62">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p>
        </w:tc>
        <w:tc>
          <w:tcPr>
            <w:tcW w:w="856" w:type="dxa"/>
            <w:vAlign w:val="center"/>
          </w:tcPr>
          <w:p w14:paraId="2534A5A6">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4</w:t>
            </w:r>
          </w:p>
        </w:tc>
        <w:tc>
          <w:tcPr>
            <w:tcW w:w="1076" w:type="dxa"/>
            <w:vAlign w:val="center"/>
          </w:tcPr>
          <w:p w14:paraId="76F899EC">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i w:val="0"/>
                <w:iCs w:val="0"/>
                <w:color w:val="000000"/>
                <w:kern w:val="0"/>
                <w:sz w:val="28"/>
                <w:szCs w:val="28"/>
                <w:u w:val="none"/>
                <w:lang w:val="en-US" w:eastAsia="zh-CN" w:bidi="ar"/>
              </w:rPr>
            </w:pPr>
            <w:r>
              <w:rPr>
                <w:rFonts w:hint="eastAsia" w:asciiTheme="minorEastAsia" w:hAnsiTheme="minorEastAsia" w:eastAsiaTheme="minorEastAsia" w:cstheme="minorEastAsia"/>
                <w:i w:val="0"/>
                <w:iCs w:val="0"/>
                <w:color w:val="000000"/>
                <w:kern w:val="0"/>
                <w:sz w:val="28"/>
                <w:szCs w:val="28"/>
                <w:u w:val="none"/>
                <w:lang w:val="en-US" w:eastAsia="zh-CN" w:bidi="ar"/>
              </w:rPr>
              <w:t>个</w:t>
            </w:r>
          </w:p>
        </w:tc>
      </w:tr>
      <w:tr w14:paraId="7D3F2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0" w:type="dxa"/>
            <w:vAlign w:val="center"/>
          </w:tcPr>
          <w:p w14:paraId="48E3947A">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固定式宣传栏</w:t>
            </w:r>
          </w:p>
        </w:tc>
        <w:tc>
          <w:tcPr>
            <w:tcW w:w="1291" w:type="dxa"/>
            <w:vAlign w:val="center"/>
          </w:tcPr>
          <w:p w14:paraId="10B4B199">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center"/>
              <w:rPr>
                <w:rFonts w:hint="eastAsia" w:asciiTheme="minorEastAsia" w:hAnsiTheme="minorEastAsia" w:eastAsiaTheme="minorEastAsia" w:cstheme="minorEastAsia"/>
                <w:sz w:val="28"/>
                <w:szCs w:val="28"/>
                <w:vertAlign w:val="baseline"/>
                <w:lang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S-17</w:t>
            </w:r>
          </w:p>
        </w:tc>
        <w:tc>
          <w:tcPr>
            <w:tcW w:w="3625" w:type="dxa"/>
            <w:vMerge w:val="continue"/>
          </w:tcPr>
          <w:p w14:paraId="47BF05EE">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eastAsia="zh-CN"/>
              </w:rPr>
            </w:pPr>
          </w:p>
        </w:tc>
        <w:tc>
          <w:tcPr>
            <w:tcW w:w="856" w:type="dxa"/>
          </w:tcPr>
          <w:p w14:paraId="4C12A6A1">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sz w:val="28"/>
                <w:szCs w:val="28"/>
                <w:vertAlign w:val="baseline"/>
                <w:lang w:val="en-US" w:eastAsia="zh-CN"/>
              </w:rPr>
            </w:pPr>
            <w:r>
              <w:rPr>
                <w:rFonts w:hint="eastAsia" w:asciiTheme="minorEastAsia" w:hAnsiTheme="minorEastAsia" w:eastAsiaTheme="minorEastAsia" w:cstheme="minorEastAsia"/>
                <w:i w:val="0"/>
                <w:iCs w:val="0"/>
                <w:color w:val="000000"/>
                <w:kern w:val="0"/>
                <w:sz w:val="28"/>
                <w:szCs w:val="28"/>
                <w:u w:val="none"/>
                <w:lang w:val="en-US" w:eastAsia="zh-CN" w:bidi="ar"/>
              </w:rPr>
              <w:t>7</w:t>
            </w:r>
          </w:p>
        </w:tc>
        <w:tc>
          <w:tcPr>
            <w:tcW w:w="1076" w:type="dxa"/>
          </w:tcPr>
          <w:p w14:paraId="72A1A3D4">
            <w:pPr>
              <w:keepNext w:val="0"/>
              <w:keepLines w:val="0"/>
              <w:pageBreakBefore w:val="0"/>
              <w:widowControl w:val="0"/>
              <w:numPr>
                <w:ilvl w:val="0"/>
                <w:numId w:val="0"/>
              </w:numPr>
              <w:kinsoku/>
              <w:wordWrap/>
              <w:overflowPunct/>
              <w:topLinePunct w:val="0"/>
              <w:autoSpaceDE/>
              <w:autoSpaceDN/>
              <w:bidi w:val="0"/>
              <w:adjustRightInd/>
              <w:snapToGrid/>
              <w:spacing w:line="578" w:lineRule="exact"/>
              <w:jc w:val="center"/>
              <w:textAlignment w:val="auto"/>
              <w:rPr>
                <w:rFonts w:hint="eastAsia" w:asciiTheme="minorEastAsia" w:hAnsiTheme="minorEastAsia" w:eastAsiaTheme="minorEastAsia" w:cstheme="minorEastAsia"/>
                <w:i w:val="0"/>
                <w:iCs w:val="0"/>
                <w:color w:val="000000"/>
                <w:kern w:val="0"/>
                <w:sz w:val="28"/>
                <w:szCs w:val="28"/>
                <w:u w:val="none"/>
                <w:lang w:val="en-US" w:eastAsia="zh-CN" w:bidi="ar"/>
              </w:rPr>
            </w:pPr>
            <w:r>
              <w:rPr>
                <w:rFonts w:hint="eastAsia" w:asciiTheme="minorEastAsia" w:hAnsiTheme="minorEastAsia" w:eastAsiaTheme="minorEastAsia" w:cstheme="minorEastAsia"/>
                <w:i w:val="0"/>
                <w:iCs w:val="0"/>
                <w:color w:val="000000"/>
                <w:kern w:val="0"/>
                <w:sz w:val="28"/>
                <w:szCs w:val="28"/>
                <w:u w:val="none"/>
                <w:lang w:val="en-US" w:eastAsia="zh-CN" w:bidi="ar"/>
              </w:rPr>
              <w:t>个</w:t>
            </w:r>
          </w:p>
        </w:tc>
      </w:tr>
    </w:tbl>
    <w:p w14:paraId="323E5D87">
      <w:pPr>
        <w:pStyle w:val="4"/>
        <w:pageBreakBefore w:val="0"/>
        <w:widowControl w:val="0"/>
        <w:kinsoku/>
        <w:wordWrap/>
        <w:overflowPunct/>
        <w:topLinePunct w:val="0"/>
        <w:autoSpaceDE/>
        <w:autoSpaceDN/>
        <w:bidi w:val="0"/>
        <w:adjustRightInd/>
        <w:snapToGrid/>
        <w:spacing w:before="0" w:after="0" w:line="578" w:lineRule="exact"/>
        <w:ind w:firstLine="562" w:firstLineChars="200"/>
        <w:textAlignment w:val="auto"/>
        <w:rPr>
          <w:rFonts w:hint="default" w:ascii="宋体" w:hAnsi="宋体" w:cs="宋体"/>
          <w:color w:val="000000"/>
          <w:sz w:val="28"/>
          <w:szCs w:val="28"/>
          <w:highlight w:val="none"/>
          <w:lang w:val="en-US" w:eastAsia="zh-CN"/>
        </w:rPr>
      </w:pPr>
      <w:bookmarkStart w:id="83" w:name="_Toc16478"/>
      <w:r>
        <w:rPr>
          <w:rFonts w:ascii="宋体" w:hAnsi="宋体" w:eastAsia="宋体" w:cs="宋体"/>
          <w:color w:val="000000"/>
          <w:kern w:val="2"/>
          <w:sz w:val="28"/>
          <w:szCs w:val="28"/>
          <w:highlight w:val="none"/>
          <w:lang w:eastAsia="zh-CN"/>
        </w:rPr>
        <w:t>★</w:t>
      </w:r>
      <w:r>
        <w:rPr>
          <w:rFonts w:hint="eastAsia" w:ascii="宋体" w:hAnsi="宋体" w:cs="宋体"/>
          <w:color w:val="000000"/>
          <w:sz w:val="28"/>
          <w:szCs w:val="28"/>
          <w:highlight w:val="none"/>
          <w:lang w:eastAsia="zh-CN"/>
        </w:rPr>
        <w:t>（三）技术标准及</w:t>
      </w:r>
      <w:r>
        <w:rPr>
          <w:rFonts w:hint="eastAsia" w:ascii="宋体" w:hAnsi="宋体" w:cs="宋体"/>
          <w:color w:val="000000"/>
          <w:sz w:val="28"/>
          <w:szCs w:val="28"/>
          <w:highlight w:val="none"/>
          <w:lang w:val="en-US" w:eastAsia="zh-CN"/>
        </w:rPr>
        <w:t>售后服务要求</w:t>
      </w:r>
      <w:bookmarkEnd w:id="83"/>
    </w:p>
    <w:p w14:paraId="0BD0525F">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val="en-US" w:eastAsia="zh-CN"/>
        </w:rPr>
        <w:t>.</w:t>
      </w:r>
      <w:r>
        <w:rPr>
          <w:rFonts w:hint="eastAsia" w:asciiTheme="minorEastAsia" w:hAnsiTheme="minorEastAsia" w:eastAsiaTheme="minorEastAsia" w:cstheme="minorEastAsia"/>
          <w:sz w:val="28"/>
          <w:szCs w:val="28"/>
        </w:rPr>
        <w:t>用材、质量要求</w:t>
      </w:r>
    </w:p>
    <w:p w14:paraId="7527E1AB">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（1）供应商所提供的用材均满足国家相关规定及相关行业标准，保证其制作的</w:t>
      </w:r>
      <w:r>
        <w:rPr>
          <w:rFonts w:hint="eastAsia" w:asciiTheme="minorEastAsia" w:hAnsiTheme="minorEastAsia" w:eastAsiaTheme="minorEastAsia" w:cstheme="minorEastAsia"/>
          <w:sz w:val="28"/>
          <w:szCs w:val="28"/>
          <w:lang w:eastAsia="zh-CN"/>
        </w:rPr>
        <w:t>党建阵地</w:t>
      </w:r>
      <w:r>
        <w:rPr>
          <w:rFonts w:hint="eastAsia" w:asciiTheme="minorEastAsia" w:hAnsiTheme="minorEastAsia" w:eastAsiaTheme="minorEastAsia" w:cstheme="minorEastAsia"/>
          <w:sz w:val="28"/>
          <w:szCs w:val="28"/>
        </w:rPr>
        <w:t>符合国家(行业)标准的规定。</w:t>
      </w:r>
    </w:p>
    <w:p w14:paraId="46C8679F">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①《建设工程勘察设计管理条例》；</w:t>
      </w:r>
    </w:p>
    <w:p w14:paraId="519FA96D">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②《公共信息图形符号第1部分：通用符号》GB/T10001.1-2023；</w:t>
      </w:r>
    </w:p>
    <w:p w14:paraId="28533310">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③《城市道路交通设施设计规范》GB50688-2011、GB50688-2011（XG1-2019）；</w:t>
      </w:r>
    </w:p>
    <w:p w14:paraId="183CFF76">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④《地名标志》GB17733-2008；</w:t>
      </w:r>
    </w:p>
    <w:p w14:paraId="7B41E970">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⑤《标牌》GB/T13306-2011；</w:t>
      </w:r>
    </w:p>
    <w:p w14:paraId="0CE115CC">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⑥《公共信息导向系统导向要素的设计原则与要求》第1部分：总则GB/T20501.1-2013；</w:t>
      </w:r>
    </w:p>
    <w:p w14:paraId="7CF693BB">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⑦《城市户外广告和招牌设施技术标准》（CJJ/T149-2021）；</w:t>
      </w:r>
    </w:p>
    <w:p w14:paraId="0D873874">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⑧《内部照明标志》JT/T750-2023；</w:t>
      </w:r>
    </w:p>
    <w:p w14:paraId="47F2CABD">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⑨《公共服务领域英文译写规范第1部分：通则》GB/T30240.1-2013以及其他国家相关标准、行业标准、地方标准或者其他标准和规范。</w:t>
      </w:r>
    </w:p>
    <w:p w14:paraId="1AC10267">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以上标准如有新规范按照最新规范执行。</w:t>
      </w:r>
    </w:p>
    <w:p w14:paraId="59BDAB99">
      <w:pPr>
        <w:keepNext w:val="0"/>
        <w:keepLines w:val="0"/>
        <w:pageBreakBefore w:val="0"/>
        <w:widowControl w:val="0"/>
        <w:numPr>
          <w:ilvl w:val="0"/>
          <w:numId w:val="3"/>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材质标准</w:t>
      </w:r>
    </w:p>
    <w:p w14:paraId="33CBFAC3">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①铝合金型材要求：铝合金型材和常用塑胶材料配件应符合铝合金标牌型材的质量要求；铝合金型材的角底偏差范围±1度；平面间隙≤0.4%*B（B为型材宽度）；尺寸需按照要求定制模具，尺寸偏差&lt;2mm。</w:t>
      </w:r>
    </w:p>
    <w:p w14:paraId="15A01345">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②亚克力标牌加工的要求：亚克力出模热弯成形，尺寸及形状一致，表面无气泡及划痕；热弯成形后表面经过粗砂、细砂、碾磨处理，保证其表面平滑无台阶；完成后表面光泽柔和均匀、无颗粒状物、无气泡、透光均匀；色彩要符合采购人要求。</w:t>
      </w:r>
    </w:p>
    <w:p w14:paraId="4A55DA2A">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③不锈钢工艺要求：不锈钢板须刨坑折弯焊接（不锈钢板须先刨坑后折弯，以保证边缘挺拔度）；保证折弯处圆弧角R＜1mm。焊接前清除表面油污，减少焊减少焊缝形成的虚焊、气孔、裂纹等缺陷。焊接完后将所有可见焊缝打磨光滑，与周围表面一样平滑，无明显划痕。</w:t>
      </w:r>
    </w:p>
    <w:p w14:paraId="3F631811">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④烤漆工艺要求：清洗表面残留物，补灰，打磨等一系列表面处理。采用环保型优质油漆烤漆处理。烤漆房须无尘埃颗粒车间，烤漆表面涂层三涂三烤处理，涂层厚度大于或等于35微米。油漆色彩要符合采购人要求。面漆膜应平滑、均匀，不允许出现流痕、皱纹、桔皮、气泡、夹杂等影响装饰效果的缺陷。</w:t>
      </w:r>
    </w:p>
    <w:p w14:paraId="1B2A3BB2">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⑤内置LED灯工艺要求（如有）：采用防水LED光源，接到专配LED电源；LED需符合相关行业质量要求。面板透光性一致，保证发光均匀。使用时控开关系统。安装完进行亮灯检查，避免出现漏光孔和缝隙，及时补缝。</w:t>
      </w:r>
    </w:p>
    <w:p w14:paraId="186D7A63">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⑥完工外观要求：安装完成后标牌外观精美，表面无螺钉，无划痕、气泡及明显的颜色不均匀，烤漆须无明显色差，所用材料符合采购人要求。标牌安装方式应方便面板更换及维护。</w:t>
      </w:r>
    </w:p>
    <w:p w14:paraId="57356FC5">
      <w:pPr>
        <w:keepNext w:val="0"/>
        <w:keepLines w:val="0"/>
        <w:pageBreakBefore w:val="0"/>
        <w:widowControl w:val="0"/>
        <w:numPr>
          <w:ilvl w:val="0"/>
          <w:numId w:val="3"/>
        </w:numPr>
        <w:kinsoku/>
        <w:wordWrap/>
        <w:overflowPunct/>
        <w:topLinePunct w:val="0"/>
        <w:autoSpaceDE/>
        <w:autoSpaceDN/>
        <w:bidi w:val="0"/>
        <w:adjustRightInd/>
        <w:snapToGrid/>
        <w:spacing w:line="578" w:lineRule="exact"/>
        <w:ind w:left="0" w:leftChars="0"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成交供应商在成交后提交的设计方案和设计图，须经采购人书面确认，如有更改，成交供应商须按照采购人要求修改。并按照采购人审核通过的设计方案及设计图实施项目。</w:t>
      </w:r>
    </w:p>
    <w:p w14:paraId="44C65BDF">
      <w:pPr>
        <w:keepNext w:val="0"/>
        <w:keepLines w:val="0"/>
        <w:pageBreakBefore w:val="0"/>
        <w:widowControl w:val="0"/>
        <w:numPr>
          <w:ilvl w:val="0"/>
          <w:numId w:val="3"/>
        </w:numPr>
        <w:kinsoku/>
        <w:wordWrap/>
        <w:overflowPunct/>
        <w:topLinePunct w:val="0"/>
        <w:autoSpaceDE/>
        <w:autoSpaceDN/>
        <w:bidi w:val="0"/>
        <w:adjustRightInd/>
        <w:snapToGrid/>
        <w:spacing w:line="578" w:lineRule="exact"/>
        <w:ind w:left="0" w:leftChars="0"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供应商须严格按照采购人指定的地点安装</w:t>
      </w:r>
      <w:r>
        <w:rPr>
          <w:rFonts w:hint="eastAsia" w:asciiTheme="minorEastAsia" w:hAnsiTheme="minorEastAsia" w:eastAsiaTheme="minorEastAsia" w:cstheme="minorEastAsia"/>
          <w:sz w:val="28"/>
          <w:szCs w:val="28"/>
          <w:lang w:eastAsia="zh-CN"/>
        </w:rPr>
        <w:t>党建阵地</w:t>
      </w:r>
      <w:r>
        <w:rPr>
          <w:rFonts w:hint="eastAsia" w:asciiTheme="minorEastAsia" w:hAnsiTheme="minorEastAsia" w:eastAsiaTheme="minorEastAsia" w:cstheme="minorEastAsia"/>
          <w:sz w:val="28"/>
          <w:szCs w:val="28"/>
        </w:rPr>
        <w:t>，不得擅自移动位置和角度。</w:t>
      </w:r>
    </w:p>
    <w:p w14:paraId="7935707A">
      <w:pPr>
        <w:keepNext w:val="0"/>
        <w:keepLines w:val="0"/>
        <w:pageBreakBefore w:val="0"/>
        <w:widowControl w:val="0"/>
        <w:numPr>
          <w:ilvl w:val="0"/>
          <w:numId w:val="3"/>
        </w:numPr>
        <w:kinsoku/>
        <w:wordWrap/>
        <w:overflowPunct/>
        <w:topLinePunct w:val="0"/>
        <w:autoSpaceDE/>
        <w:autoSpaceDN/>
        <w:bidi w:val="0"/>
        <w:adjustRightInd/>
        <w:snapToGrid/>
        <w:spacing w:line="578" w:lineRule="exact"/>
        <w:ind w:left="0" w:leftChars="0"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现场安装须严格依照设计清单，不得减少施工材料，不得破坏墙面等。安装完以后，供应商应及时恢复建筑物和设施设备原貌；如使用后需要移除</w:t>
      </w:r>
      <w:r>
        <w:rPr>
          <w:rFonts w:hint="eastAsia" w:asciiTheme="minorEastAsia" w:hAnsiTheme="minorEastAsia" w:eastAsiaTheme="minorEastAsia" w:cstheme="minorEastAsia"/>
          <w:sz w:val="28"/>
          <w:szCs w:val="28"/>
          <w:lang w:eastAsia="zh-CN"/>
        </w:rPr>
        <w:t>党建阵地</w:t>
      </w:r>
      <w:r>
        <w:rPr>
          <w:rFonts w:hint="eastAsia" w:asciiTheme="minorEastAsia" w:hAnsiTheme="minorEastAsia" w:eastAsiaTheme="minorEastAsia" w:cstheme="minorEastAsia"/>
          <w:sz w:val="28"/>
          <w:szCs w:val="28"/>
        </w:rPr>
        <w:t>制作物料，供应商应按照采购人的预定期限完成移除并做好建筑物等原貌恢复工作，并保证施工后及时处理现场清洁卫生。供应商应保证采购人临时性的特殊需求，如临时增加、临时更换安装或送货地点、临时要求提前或延后等需求。</w:t>
      </w:r>
    </w:p>
    <w:p w14:paraId="79C99D43">
      <w:pPr>
        <w:keepNext w:val="0"/>
        <w:keepLines w:val="0"/>
        <w:pageBreakBefore w:val="0"/>
        <w:widowControl w:val="0"/>
        <w:numPr>
          <w:ilvl w:val="0"/>
          <w:numId w:val="3"/>
        </w:numPr>
        <w:kinsoku/>
        <w:wordWrap/>
        <w:overflowPunct/>
        <w:topLinePunct w:val="0"/>
        <w:autoSpaceDE/>
        <w:autoSpaceDN/>
        <w:bidi w:val="0"/>
        <w:adjustRightInd/>
        <w:snapToGrid/>
        <w:spacing w:line="578" w:lineRule="exact"/>
        <w:ind w:left="0" w:leftChars="0"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因供应商原因造成拼错版面、图文不清楚等质量问题，采购人有权责拒绝收货，并要求供应商在限定的时间内完成重新制作，重新制作的全部费用由供应商承担。</w:t>
      </w:r>
    </w:p>
    <w:p w14:paraId="650DCAC1">
      <w:pPr>
        <w:keepNext w:val="0"/>
        <w:keepLines w:val="0"/>
        <w:pageBreakBefore w:val="0"/>
        <w:widowControl w:val="0"/>
        <w:numPr>
          <w:ilvl w:val="0"/>
          <w:numId w:val="3"/>
        </w:numPr>
        <w:kinsoku/>
        <w:wordWrap/>
        <w:overflowPunct/>
        <w:topLinePunct w:val="0"/>
        <w:autoSpaceDE/>
        <w:autoSpaceDN/>
        <w:bidi w:val="0"/>
        <w:adjustRightInd/>
        <w:snapToGrid/>
        <w:spacing w:line="578" w:lineRule="exact"/>
        <w:ind w:left="0" w:leftChars="0"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供应商应接受采购人的监督，保质保量完成</w:t>
      </w:r>
      <w:r>
        <w:rPr>
          <w:rFonts w:hint="eastAsia" w:asciiTheme="minorEastAsia" w:hAnsiTheme="minorEastAsia" w:eastAsiaTheme="minorEastAsia" w:cstheme="minorEastAsia"/>
          <w:sz w:val="28"/>
          <w:szCs w:val="28"/>
          <w:lang w:eastAsia="zh-CN"/>
        </w:rPr>
        <w:t>党建阵地</w:t>
      </w:r>
      <w:r>
        <w:rPr>
          <w:rFonts w:hint="eastAsia" w:asciiTheme="minorEastAsia" w:hAnsiTheme="minorEastAsia" w:eastAsiaTheme="minorEastAsia" w:cstheme="minorEastAsia"/>
          <w:sz w:val="28"/>
          <w:szCs w:val="28"/>
        </w:rPr>
        <w:t>制作任务，对出现的问题，采购人指出后，供应商不予采纳或拒不改正的，采购人有权终止合同。</w:t>
      </w:r>
    </w:p>
    <w:p w14:paraId="3D5EE97F">
      <w:pPr>
        <w:keepNext w:val="0"/>
        <w:keepLines w:val="0"/>
        <w:pageBreakBefore w:val="0"/>
        <w:widowControl w:val="0"/>
        <w:numPr>
          <w:ilvl w:val="0"/>
          <w:numId w:val="3"/>
        </w:numPr>
        <w:kinsoku/>
        <w:wordWrap/>
        <w:overflowPunct/>
        <w:topLinePunct w:val="0"/>
        <w:autoSpaceDE/>
        <w:autoSpaceDN/>
        <w:bidi w:val="0"/>
        <w:adjustRightInd/>
        <w:snapToGrid/>
        <w:spacing w:line="578" w:lineRule="exact"/>
        <w:ind w:left="0" w:leftChars="0"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服务期限内除人为因素造成产品的损坏，供应商应负责及时更换。</w:t>
      </w:r>
    </w:p>
    <w:p w14:paraId="07D64447">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kern w:val="2"/>
          <w:sz w:val="28"/>
          <w:szCs w:val="28"/>
          <w:lang w:val="en-US" w:eastAsia="zh-CN" w:bidi="ar-SA"/>
        </w:rPr>
        <w:t>2.</w:t>
      </w:r>
      <w:r>
        <w:rPr>
          <w:rFonts w:hint="eastAsia" w:asciiTheme="minorEastAsia" w:hAnsiTheme="minorEastAsia" w:eastAsiaTheme="minorEastAsia" w:cstheme="minorEastAsia"/>
          <w:sz w:val="28"/>
          <w:szCs w:val="28"/>
          <w:lang w:eastAsia="zh-CN"/>
        </w:rPr>
        <w:t>安装及售后服务要求</w:t>
      </w:r>
    </w:p>
    <w:p w14:paraId="34F26E30">
      <w:pPr>
        <w:keepNext w:val="0"/>
        <w:keepLines w:val="0"/>
        <w:pageBreakBefore w:val="0"/>
        <w:widowControl w:val="0"/>
        <w:numPr>
          <w:ilvl w:val="0"/>
          <w:numId w:val="4"/>
        </w:numPr>
        <w:kinsoku/>
        <w:wordWrap/>
        <w:overflowPunct/>
        <w:topLinePunct w:val="0"/>
        <w:autoSpaceDE/>
        <w:autoSpaceDN/>
        <w:bidi w:val="0"/>
        <w:adjustRightInd/>
        <w:snapToGrid/>
        <w:spacing w:line="578" w:lineRule="exact"/>
        <w:ind w:leftChars="0"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本项目所有安全责任(含事故)由成交供应商自行承担，与采购人无关，成交供应商在进场后须严格按照相关规范要求进行安装和施工，并遵从采购人和物业管理单位提出的科学、规范、合理意见。</w:t>
      </w:r>
    </w:p>
    <w:p w14:paraId="034AA274">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（2）成交供应商应做好</w:t>
      </w:r>
      <w:r>
        <w:rPr>
          <w:rFonts w:hint="eastAsia" w:asciiTheme="minorEastAsia" w:hAnsiTheme="minorEastAsia" w:eastAsiaTheme="minorEastAsia" w:cstheme="minorEastAsia"/>
          <w:sz w:val="28"/>
          <w:szCs w:val="28"/>
          <w:lang w:eastAsia="zh-CN"/>
        </w:rPr>
        <w:t>党建阵地</w:t>
      </w:r>
      <w:r>
        <w:rPr>
          <w:rFonts w:hint="eastAsia" w:asciiTheme="minorEastAsia" w:hAnsiTheme="minorEastAsia" w:eastAsiaTheme="minorEastAsia" w:cstheme="minorEastAsia"/>
          <w:sz w:val="28"/>
          <w:szCs w:val="28"/>
        </w:rPr>
        <w:t>建设现场施工环境保护、成品保护工作，针对现场运输材料、堆放材料等造成的墙面或地面污染，应安排专人负责跟踪打扫，周边的绿化等公用设施应做好施工期间保护工作，现场施工及生活产生的垃圾应该每天有人清除，不允许在非采购人指定区域堆放材料；由此造成的损失由成交供应商负责恢复或赔偿。</w:t>
      </w:r>
    </w:p>
    <w:p w14:paraId="4E31BF8D">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firstLine="560" w:firstLine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成交供应商负责现场因施工产生的垃圾、地上地下障碍物清运与处置工作，并必须符合环保要求，相关费用均含在报价中，结算时不再另行计取。若供应商违反环保相关规定的，由供应商自行承担一切不良后果。</w:t>
      </w:r>
    </w:p>
    <w:p w14:paraId="420DB76F">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Chars="0" w:firstLine="560" w:firstLineChars="200"/>
        <w:textAlignment w:val="auto"/>
        <w:rPr>
          <w:highlight w:val="none"/>
        </w:rPr>
      </w:pPr>
      <w:r>
        <w:rPr>
          <w:rFonts w:hint="eastAsia" w:asciiTheme="minorEastAsia" w:hAnsiTheme="minorEastAsia" w:eastAsiaTheme="minorEastAsia" w:cstheme="minorEastAsia"/>
          <w:sz w:val="28"/>
          <w:szCs w:val="28"/>
        </w:rPr>
        <w:t>（4）本项目质保期限为6个月（质保期为验收合格之日起开始计算），成交供应商提供售后服务，提供每月一次的巡回保养服务。在质保期内，提供维修保养服务；如需更换零配件，成交供应商应保证所更换的零配件与原设备相同规格和品质，维修期间，成交供应商向采购人提供同等性能的替用产品；同一产品、同一质量问题连续两次维修仍无法正常使用的，须更换新产品，并对产品质量实行“三包”服务；在质保期外，为设备提供维修服务，提供设备的维修只收取成本费用,不收取人工技术费用。</w:t>
      </w:r>
    </w:p>
    <w:p w14:paraId="2421B282">
      <w:pPr>
        <w:pStyle w:val="3"/>
        <w:pageBreakBefore w:val="0"/>
        <w:kinsoku/>
        <w:wordWrap/>
        <w:overflowPunct/>
        <w:topLinePunct w:val="0"/>
        <w:bidi w:val="0"/>
        <w:adjustRightInd/>
        <w:snapToGrid/>
        <w:spacing w:before="0" w:after="0" w:line="578" w:lineRule="exact"/>
        <w:ind w:firstLine="562" w:firstLineChars="200"/>
        <w:jc w:val="left"/>
        <w:textAlignment w:val="auto"/>
        <w:rPr>
          <w:rFonts w:hint="eastAsia" w:ascii="黑体" w:hAnsi="黑体" w:eastAsia="黑体" w:cs="黑体"/>
          <w:b w:val="0"/>
          <w:bCs w:val="0"/>
          <w:sz w:val="28"/>
          <w:szCs w:val="28"/>
          <w:lang w:val="zh-CN"/>
        </w:rPr>
      </w:pPr>
      <w:bookmarkStart w:id="84" w:name="_Toc30737"/>
      <w:bookmarkStart w:id="85" w:name="_Toc17732"/>
      <w:r>
        <w:rPr>
          <w:rFonts w:ascii="宋体" w:hAnsi="宋体" w:eastAsia="宋体" w:cs="宋体"/>
          <w:color w:val="000000"/>
          <w:kern w:val="2"/>
          <w:sz w:val="28"/>
          <w:szCs w:val="28"/>
          <w:highlight w:val="none"/>
          <w:lang w:eastAsia="zh-CN"/>
        </w:rPr>
        <w:t>★</w:t>
      </w:r>
      <w:r>
        <w:rPr>
          <w:rFonts w:hint="eastAsia" w:ascii="黑体" w:hAnsi="黑体" w:eastAsia="黑体" w:cs="黑体"/>
          <w:b w:val="0"/>
          <w:bCs w:val="0"/>
          <w:sz w:val="28"/>
          <w:szCs w:val="28"/>
          <w:lang w:val="zh-CN"/>
        </w:rPr>
        <w:t>三、商务要求</w:t>
      </w:r>
      <w:bookmarkEnd w:id="84"/>
      <w:bookmarkEnd w:id="85"/>
    </w:p>
    <w:p w14:paraId="54D8AFA3">
      <w:pPr>
        <w:pageBreakBefore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olor w:val="000000" w:themeColor="text1"/>
          <w:sz w:val="28"/>
          <w:szCs w:val="28"/>
          <w:highlight w:val="none"/>
          <w14:textFill>
            <w14:solidFill>
              <w14:schemeClr w14:val="tx1"/>
            </w14:solidFill>
          </w14:textFill>
        </w:rPr>
      </w:pPr>
      <w:r>
        <w:rPr>
          <w:rFonts w:hint="eastAsia" w:asciiTheme="minorEastAsia" w:hAnsiTheme="minorEastAsia"/>
          <w:color w:val="000000" w:themeColor="text1"/>
          <w:sz w:val="28"/>
          <w:szCs w:val="28"/>
          <w:highlight w:val="none"/>
          <w14:textFill>
            <w14:solidFill>
              <w14:schemeClr w14:val="tx1"/>
            </w14:solidFill>
          </w14:textFill>
        </w:rPr>
        <w:t>1、合同履行期限：自合同签订之日起</w:t>
      </w:r>
      <w:r>
        <w:rPr>
          <w:rFonts w:hint="eastAsia" w:asciiTheme="minorEastAsia" w:hAnsiTheme="minorEastAsia"/>
          <w:color w:val="000000" w:themeColor="text1"/>
          <w:sz w:val="28"/>
          <w:szCs w:val="28"/>
          <w:highlight w:val="none"/>
          <w:lang w:val="en-US" w:eastAsia="zh-CN"/>
          <w14:textFill>
            <w14:solidFill>
              <w14:schemeClr w14:val="tx1"/>
            </w14:solidFill>
          </w14:textFill>
        </w:rPr>
        <w:t>30</w:t>
      </w:r>
      <w:r>
        <w:rPr>
          <w:rFonts w:hint="eastAsia" w:asciiTheme="minorEastAsia" w:hAnsiTheme="minorEastAsia"/>
          <w:color w:val="000000" w:themeColor="text1"/>
          <w:sz w:val="28"/>
          <w:szCs w:val="28"/>
          <w:highlight w:val="none"/>
          <w14:textFill>
            <w14:solidFill>
              <w14:schemeClr w14:val="tx1"/>
            </w14:solidFill>
          </w14:textFill>
        </w:rPr>
        <w:t>日</w:t>
      </w:r>
      <w:r>
        <w:rPr>
          <w:rFonts w:hint="eastAsia" w:asciiTheme="minorEastAsia" w:hAnsiTheme="minorEastAsia"/>
          <w:color w:val="000000" w:themeColor="text1"/>
          <w:sz w:val="28"/>
          <w:szCs w:val="28"/>
          <w:highlight w:val="none"/>
          <w:lang w:val="en-US" w:eastAsia="zh-CN"/>
          <w14:textFill>
            <w14:solidFill>
              <w14:schemeClr w14:val="tx1"/>
            </w14:solidFill>
          </w14:textFill>
        </w:rPr>
        <w:t>内。</w:t>
      </w:r>
      <w:r>
        <w:rPr>
          <w:rFonts w:hint="eastAsia" w:asciiTheme="minorEastAsia" w:hAnsiTheme="minorEastAsia"/>
          <w:color w:val="000000" w:themeColor="text1"/>
          <w:sz w:val="28"/>
          <w:szCs w:val="28"/>
          <w:highlight w:val="none"/>
          <w:lang w:eastAsia="zh-CN"/>
          <w14:textFill>
            <w14:solidFill>
              <w14:schemeClr w14:val="tx1"/>
            </w14:solidFill>
          </w14:textFill>
        </w:rPr>
        <w:t>（若因采购人</w:t>
      </w:r>
      <w:r>
        <w:rPr>
          <w:rFonts w:hint="eastAsia" w:asciiTheme="minorEastAsia" w:hAnsiTheme="minorEastAsia"/>
          <w:color w:val="000000" w:themeColor="text1"/>
          <w:sz w:val="28"/>
          <w:szCs w:val="28"/>
          <w:highlight w:val="none"/>
          <w:lang w:val="en-US" w:eastAsia="zh-CN"/>
          <w14:textFill>
            <w14:solidFill>
              <w14:schemeClr w14:val="tx1"/>
            </w14:solidFill>
          </w14:textFill>
        </w:rPr>
        <w:t>原</w:t>
      </w:r>
      <w:r>
        <w:rPr>
          <w:rFonts w:hint="eastAsia" w:asciiTheme="minorEastAsia" w:hAnsiTheme="minorEastAsia"/>
          <w:color w:val="000000" w:themeColor="text1"/>
          <w:sz w:val="28"/>
          <w:szCs w:val="28"/>
          <w:highlight w:val="none"/>
          <w:lang w:eastAsia="zh-CN"/>
          <w14:textFill>
            <w14:solidFill>
              <w14:schemeClr w14:val="tx1"/>
            </w14:solidFill>
          </w14:textFill>
        </w:rPr>
        <w:t>因延迟的不计算在履约期内）</w:t>
      </w:r>
      <w:r>
        <w:rPr>
          <w:rFonts w:hint="eastAsia" w:asciiTheme="minorEastAsia" w:hAnsiTheme="minorEastAsia"/>
          <w:color w:val="000000" w:themeColor="text1"/>
          <w:sz w:val="28"/>
          <w:szCs w:val="28"/>
          <w:highlight w:val="none"/>
          <w14:textFill>
            <w14:solidFill>
              <w14:schemeClr w14:val="tx1"/>
            </w14:solidFill>
          </w14:textFill>
        </w:rPr>
        <w:t>。</w:t>
      </w:r>
    </w:p>
    <w:p w14:paraId="332E0975">
      <w:pPr>
        <w:pageBreakBefore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olor w:val="000000" w:themeColor="text1"/>
          <w:sz w:val="28"/>
          <w:szCs w:val="28"/>
          <w:highlight w:val="none"/>
          <w14:textFill>
            <w14:solidFill>
              <w14:schemeClr w14:val="tx1"/>
            </w14:solidFill>
          </w14:textFill>
        </w:rPr>
      </w:pPr>
      <w:r>
        <w:rPr>
          <w:rFonts w:hint="eastAsia" w:asciiTheme="minorEastAsia" w:hAnsiTheme="minorEastAsia"/>
          <w:color w:val="000000" w:themeColor="text1"/>
          <w:sz w:val="28"/>
          <w:szCs w:val="28"/>
          <w:highlight w:val="none"/>
          <w14:textFill>
            <w14:solidFill>
              <w14:schemeClr w14:val="tx1"/>
            </w14:solidFill>
          </w14:textFill>
        </w:rPr>
        <w:t>2、合同履约地点：采购人指定地点。</w:t>
      </w:r>
    </w:p>
    <w:p w14:paraId="370A120B">
      <w:pPr>
        <w:pageBreakBefore w:val="0"/>
        <w:kinsoku/>
        <w:wordWrap/>
        <w:overflowPunct/>
        <w:topLinePunct w:val="0"/>
        <w:autoSpaceDE/>
        <w:autoSpaceDN/>
        <w:bidi w:val="0"/>
        <w:adjustRightInd/>
        <w:snapToGrid/>
        <w:spacing w:line="578" w:lineRule="exact"/>
        <w:ind w:firstLine="560" w:firstLineChars="200"/>
        <w:jc w:val="left"/>
        <w:textAlignment w:val="auto"/>
        <w:rPr>
          <w:rFonts w:hint="eastAsia" w:asciiTheme="minorEastAsia" w:hAnsiTheme="minorEastAsia"/>
          <w:color w:val="000000" w:themeColor="text1"/>
          <w:sz w:val="28"/>
          <w:szCs w:val="28"/>
          <w:highlight w:val="none"/>
          <w:lang w:eastAsia="zh-CN"/>
          <w14:textFill>
            <w14:solidFill>
              <w14:schemeClr w14:val="tx1"/>
            </w14:solidFill>
          </w14:textFill>
        </w:rPr>
      </w:pPr>
      <w:r>
        <w:rPr>
          <w:rFonts w:hint="eastAsia" w:asciiTheme="minorEastAsia" w:hAnsiTheme="minorEastAsia"/>
          <w:color w:val="000000" w:themeColor="text1"/>
          <w:sz w:val="28"/>
          <w:szCs w:val="28"/>
          <w:highlight w:val="none"/>
          <w14:textFill>
            <w14:solidFill>
              <w14:schemeClr w14:val="tx1"/>
            </w14:solidFill>
          </w14:textFill>
        </w:rPr>
        <w:t>3、付款方式：经验收合格后，达到付款条件</w:t>
      </w:r>
      <w:r>
        <w:rPr>
          <w:rFonts w:hint="eastAsia" w:asciiTheme="minorEastAsia" w:hAnsiTheme="minorEastAsia"/>
          <w:color w:val="000000" w:themeColor="text1"/>
          <w:sz w:val="28"/>
          <w:szCs w:val="28"/>
          <w:highlight w:val="none"/>
          <w:lang w:val="en-US" w:eastAsia="zh-CN"/>
          <w14:textFill>
            <w14:solidFill>
              <w14:schemeClr w14:val="tx1"/>
            </w14:solidFill>
          </w14:textFill>
        </w:rPr>
        <w:t>1个月</w:t>
      </w:r>
      <w:r>
        <w:rPr>
          <w:rFonts w:hint="eastAsia" w:asciiTheme="minorEastAsia" w:hAnsiTheme="minorEastAsia"/>
          <w:color w:val="000000" w:themeColor="text1"/>
          <w:sz w:val="28"/>
          <w:szCs w:val="28"/>
          <w:highlight w:val="none"/>
          <w14:textFill>
            <w14:solidFill>
              <w14:schemeClr w14:val="tx1"/>
            </w14:solidFill>
          </w14:textFill>
        </w:rPr>
        <w:t>内(必须提供合法有效的票据)，支付合同价款</w:t>
      </w:r>
      <w:r>
        <w:rPr>
          <w:rFonts w:hint="eastAsia" w:asciiTheme="minorEastAsia" w:hAnsiTheme="minorEastAsia"/>
          <w:color w:val="000000" w:themeColor="text1"/>
          <w:sz w:val="28"/>
          <w:szCs w:val="28"/>
          <w:highlight w:val="none"/>
          <w:lang w:eastAsia="zh-CN"/>
          <w14:textFill>
            <w14:solidFill>
              <w14:schemeClr w14:val="tx1"/>
            </w14:solidFill>
          </w14:textFill>
        </w:rPr>
        <w:t>的</w:t>
      </w:r>
      <w:r>
        <w:rPr>
          <w:rFonts w:hint="eastAsia" w:asciiTheme="minorEastAsia" w:hAnsiTheme="minorEastAsia"/>
          <w:color w:val="000000" w:themeColor="text1"/>
          <w:sz w:val="28"/>
          <w:szCs w:val="28"/>
          <w:highlight w:val="none"/>
          <w:lang w:val="en-US" w:eastAsia="zh-CN"/>
          <w14:textFill>
            <w14:solidFill>
              <w14:schemeClr w14:val="tx1"/>
            </w14:solidFill>
          </w14:textFill>
        </w:rPr>
        <w:t>50%，验收合格后6个月支付40%，验收合格后12个月支付10%</w:t>
      </w:r>
      <w:r>
        <w:rPr>
          <w:rFonts w:hint="eastAsia" w:asciiTheme="minorEastAsia" w:hAnsiTheme="minorEastAsia"/>
          <w:color w:val="000000" w:themeColor="text1"/>
          <w:sz w:val="28"/>
          <w:szCs w:val="28"/>
          <w:highlight w:val="none"/>
          <w14:textFill>
            <w14:solidFill>
              <w14:schemeClr w14:val="tx1"/>
            </w14:solidFill>
          </w14:textFill>
        </w:rPr>
        <w:t>。</w:t>
      </w:r>
    </w:p>
    <w:p w14:paraId="31788085">
      <w:pPr>
        <w:pStyle w:val="3"/>
        <w:pageBreakBefore w:val="0"/>
        <w:kinsoku/>
        <w:wordWrap/>
        <w:overflowPunct/>
        <w:topLinePunct w:val="0"/>
        <w:bidi w:val="0"/>
        <w:adjustRightInd/>
        <w:snapToGrid/>
        <w:spacing w:before="0" w:after="0" w:line="578" w:lineRule="exact"/>
        <w:ind w:firstLine="560" w:firstLineChars="200"/>
        <w:jc w:val="left"/>
        <w:textAlignment w:val="auto"/>
        <w:rPr>
          <w:rFonts w:hint="eastAsia" w:ascii="黑体" w:hAnsi="黑体" w:eastAsia="黑体" w:cs="黑体"/>
          <w:b w:val="0"/>
          <w:bCs w:val="0"/>
          <w:sz w:val="28"/>
          <w:szCs w:val="28"/>
          <w:lang w:val="zh-CN"/>
        </w:rPr>
      </w:pPr>
      <w:bookmarkStart w:id="86" w:name="_Toc7070"/>
      <w:bookmarkStart w:id="87" w:name="_Toc26332"/>
      <w:r>
        <w:rPr>
          <w:rFonts w:hint="eastAsia" w:ascii="黑体" w:hAnsi="黑体" w:eastAsia="黑体" w:cs="黑体"/>
          <w:b w:val="0"/>
          <w:bCs w:val="0"/>
          <w:sz w:val="28"/>
          <w:szCs w:val="28"/>
          <w:lang w:val="zh-CN"/>
        </w:rPr>
        <w:t>四、其他要求</w:t>
      </w:r>
      <w:bookmarkEnd w:id="86"/>
      <w:bookmarkEnd w:id="87"/>
    </w:p>
    <w:p w14:paraId="48E3579B">
      <w:pPr>
        <w:tabs>
          <w:tab w:val="left" w:pos="180"/>
        </w:tabs>
        <w:spacing w:line="500" w:lineRule="exact"/>
        <w:ind w:firstLine="560" w:firstLineChars="200"/>
        <w:rPr>
          <w:rFonts w:ascii="宋体" w:hAnsi="宋体" w:cs="宋体"/>
          <w:color w:val="000000"/>
          <w:sz w:val="28"/>
          <w:szCs w:val="28"/>
          <w:highlight w:val="none"/>
        </w:rPr>
      </w:pPr>
      <w:r>
        <w:rPr>
          <w:rFonts w:hint="eastAsia" w:ascii="宋体" w:hAnsi="宋体" w:cs="宋体"/>
          <w:color w:val="000000"/>
          <w:sz w:val="28"/>
          <w:szCs w:val="28"/>
          <w:highlight w:val="none"/>
        </w:rPr>
        <w:t>未尽事宜由采购人及成交供应商在签订合同时协商解决。</w:t>
      </w:r>
    </w:p>
    <w:p w14:paraId="044EB00B">
      <w:pPr>
        <w:widowControl/>
        <w:jc w:val="left"/>
        <w:rPr>
          <w:rFonts w:ascii="宋体" w:hAnsi="宋体" w:cs="宋体"/>
          <w:color w:val="000000"/>
          <w:sz w:val="28"/>
          <w:szCs w:val="28"/>
          <w:highlight w:val="none"/>
        </w:rPr>
      </w:pPr>
      <w:r>
        <w:rPr>
          <w:rFonts w:ascii="宋体" w:hAnsi="宋体" w:cs="宋体"/>
          <w:color w:val="000000"/>
          <w:sz w:val="28"/>
          <w:szCs w:val="28"/>
          <w:highlight w:val="none"/>
        </w:rPr>
        <w:br w:type="page"/>
      </w:r>
    </w:p>
    <w:p w14:paraId="267764D5">
      <w:pPr>
        <w:pStyle w:val="22"/>
        <w:rPr>
          <w:rFonts w:hint="eastAsia" w:ascii="方正小标宋简体" w:hAnsi="方正小标宋简体" w:eastAsia="方正小标宋简体" w:cs="方正小标宋简体"/>
          <w:b w:val="0"/>
          <w:bCs w:val="0"/>
          <w:lang w:val="en-US" w:eastAsia="zh-CN"/>
        </w:rPr>
      </w:pPr>
      <w:bookmarkStart w:id="88" w:name="_Toc14840"/>
      <w:bookmarkStart w:id="89" w:name="_Toc30800"/>
      <w:bookmarkStart w:id="90" w:name="_Toc23522"/>
      <w:r>
        <w:rPr>
          <w:rFonts w:hint="eastAsia" w:ascii="方正小标宋简体" w:hAnsi="方正小标宋简体" w:eastAsia="方正小标宋简体" w:cs="方正小标宋简体"/>
          <w:b w:val="0"/>
          <w:bCs w:val="0"/>
          <w:lang w:val="en-US" w:eastAsia="zh-CN"/>
        </w:rPr>
        <w:t>第五章 比选申请文件格式</w:t>
      </w:r>
      <w:bookmarkEnd w:id="88"/>
      <w:bookmarkEnd w:id="89"/>
      <w:bookmarkEnd w:id="90"/>
    </w:p>
    <w:p w14:paraId="7BB6514C">
      <w:pPr>
        <w:pStyle w:val="3"/>
      </w:pPr>
      <w:bookmarkStart w:id="91" w:name="_Toc18714"/>
      <w:bookmarkStart w:id="92" w:name="_Toc17456"/>
      <w:bookmarkStart w:id="93" w:name="_Toc7435"/>
      <w:r>
        <w:rPr>
          <w:rFonts w:hint="eastAsia"/>
        </w:rPr>
        <w:t>一、比选申请函</w:t>
      </w:r>
      <w:bookmarkEnd w:id="91"/>
      <w:bookmarkEnd w:id="92"/>
      <w:bookmarkEnd w:id="93"/>
    </w:p>
    <w:p w14:paraId="26E0C21D">
      <w:pPr>
        <w:snapToGrid w:val="0"/>
        <w:spacing w:line="540" w:lineRule="exact"/>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u w:val="single"/>
          <w14:textFill>
            <w14:solidFill>
              <w14:schemeClr w14:val="tx1"/>
            </w14:solidFill>
          </w14:textFill>
        </w:rPr>
        <w:t xml:space="preserve"> （比选人）</w:t>
      </w:r>
      <w:r>
        <w:rPr>
          <w:rFonts w:hint="eastAsia" w:asciiTheme="minorEastAsia" w:hAnsiTheme="minorEastAsia" w:eastAsiaTheme="minorEastAsia"/>
          <w:color w:val="000000" w:themeColor="text1"/>
          <w:sz w:val="28"/>
          <w:szCs w:val="28"/>
          <w:u w:val="single"/>
          <w14:textFill>
            <w14:solidFill>
              <w14:schemeClr w14:val="tx1"/>
            </w14:solidFill>
          </w14:textFill>
        </w:rPr>
        <w:t>：</w:t>
      </w:r>
    </w:p>
    <w:p w14:paraId="66F68246">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1.在研究了</w:t>
      </w:r>
      <w:r>
        <w:rPr>
          <w:rFonts w:asciiTheme="minorEastAsia" w:hAnsiTheme="minorEastAsia" w:eastAsiaTheme="minorEastAsia"/>
          <w:color w:val="000000" w:themeColor="text1"/>
          <w:sz w:val="28"/>
          <w:szCs w:val="28"/>
          <w:u w:val="single"/>
          <w14:textFill>
            <w14:solidFill>
              <w14:schemeClr w14:val="tx1"/>
            </w14:solidFill>
          </w14:textFill>
        </w:rPr>
        <w:t xml:space="preserve">              （项目名称）</w:t>
      </w:r>
      <w:r>
        <w:rPr>
          <w:rFonts w:asciiTheme="minorEastAsia" w:hAnsiTheme="minorEastAsia" w:eastAsiaTheme="minorEastAsia"/>
          <w:color w:val="000000" w:themeColor="text1"/>
          <w:sz w:val="28"/>
          <w:szCs w:val="28"/>
          <w14:textFill>
            <w14:solidFill>
              <w14:schemeClr w14:val="tx1"/>
            </w14:solidFill>
          </w14:textFill>
        </w:rPr>
        <w:t>比选文件后，我们愿意按该项目比选文件的要求履行，并作为自己的义务和责任。</w:t>
      </w:r>
    </w:p>
    <w:p w14:paraId="5D770774">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2.如果比选人接受我们的比选申请，我们将保证按比选文件的要求，承担比选文件要求的所有内容。</w:t>
      </w:r>
    </w:p>
    <w:p w14:paraId="772911D9">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14:paraId="68D2342A">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4.在合作协议书正式签署生效之前，本比选申请文件连同比选人的中选通知书构成我们双方之间共同遵守的文件，对双方具有约束力。</w:t>
      </w:r>
    </w:p>
    <w:p w14:paraId="51D29F7B">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5.我们理解比选人不一定接受到任何比选申请人的投标，同时也理解比选人不负担比选申请人的任何费用。</w:t>
      </w:r>
    </w:p>
    <w:p w14:paraId="64ADC7BE">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14:paraId="27615CFA">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7.我方所提交的比选申请文件已充分考虑了各种因素对报价的影响，我方承诺中选后比选申请报价作为合同价不再调整。</w:t>
      </w:r>
    </w:p>
    <w:p w14:paraId="70183A26">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8.我方承诺：比选申请文件有效期为从递交比选申请文件的截止日期起</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日历天。</w:t>
      </w:r>
    </w:p>
    <w:p w14:paraId="37C94597">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0755EF18">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比选申请人：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盖单位公章</w:t>
      </w:r>
      <w:r>
        <w:rPr>
          <w:rFonts w:asciiTheme="minorEastAsia" w:hAnsiTheme="minorEastAsia" w:eastAsiaTheme="minorEastAsia"/>
          <w:color w:val="000000" w:themeColor="text1"/>
          <w:sz w:val="28"/>
          <w:szCs w:val="28"/>
          <w14:textFill>
            <w14:solidFill>
              <w14:schemeClr w14:val="tx1"/>
            </w14:solidFill>
          </w14:textFill>
        </w:rPr>
        <w:t>）</w:t>
      </w:r>
    </w:p>
    <w:p w14:paraId="27B47377">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法定代表人或委托代理人：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（签字）</w:t>
      </w:r>
    </w:p>
    <w:p w14:paraId="423570F9">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日期：</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月</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w:t>
      </w:r>
    </w:p>
    <w:p w14:paraId="11BAEBEE">
      <w:pPr>
        <w:pStyle w:val="3"/>
      </w:pPr>
      <w:bookmarkStart w:id="94" w:name="_Toc18060"/>
      <w:bookmarkStart w:id="95" w:name="_Toc30475"/>
      <w:bookmarkStart w:id="96" w:name="_Toc3474"/>
      <w:r>
        <w:rPr>
          <w:rFonts w:hint="eastAsia"/>
        </w:rPr>
        <w:t>二、承诺函</w:t>
      </w:r>
      <w:bookmarkEnd w:id="94"/>
      <w:bookmarkEnd w:id="95"/>
      <w:bookmarkEnd w:id="96"/>
      <w:r>
        <w:rPr>
          <w:rFonts w:hint="eastAsia"/>
        </w:rPr>
        <w:t xml:space="preserve"> </w:t>
      </w:r>
    </w:p>
    <w:p w14:paraId="5ACBAC36">
      <w:pPr>
        <w:snapToGrid w:val="0"/>
        <w:spacing w:line="540" w:lineRule="exact"/>
        <w:jc w:val="left"/>
        <w:rPr>
          <w:rFonts w:asciiTheme="minorEastAsia" w:hAnsiTheme="minorEastAsia" w:eastAsia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致：</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（比选人）: </w:t>
      </w:r>
    </w:p>
    <w:p w14:paraId="319455B8">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我公司作为本次采购项目的比选申请人，根据必须按文件文件要求，现郑重承诺如下： </w:t>
      </w:r>
    </w:p>
    <w:p w14:paraId="25449065">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一、具备《中华人民共和国政府采购法》和本项目规定的条件： </w:t>
      </w:r>
    </w:p>
    <w:p w14:paraId="4C04EFC9">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（一）具有独立承担民事责任的能力； </w:t>
      </w:r>
    </w:p>
    <w:p w14:paraId="498FC02F">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（二）具有良好的商业信誉； </w:t>
      </w:r>
    </w:p>
    <w:p w14:paraId="3EA78329">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（三）具有履行合同所必需的设备和专业技术能力； </w:t>
      </w:r>
    </w:p>
    <w:p w14:paraId="5F0A5FA7">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（四）有依法缴纳税收和社会保障资金的良好记录； </w:t>
      </w:r>
    </w:p>
    <w:p w14:paraId="63F1E353">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（五）参加政府采购活动前三年内，在经营活动中没有重大违法记录； </w:t>
      </w:r>
    </w:p>
    <w:p w14:paraId="4C13754C">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（六）法律、行政法规规定的其他条件； </w:t>
      </w:r>
    </w:p>
    <w:p w14:paraId="3A15748E">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（七）根据采购项目提出的特殊条件。</w:t>
      </w:r>
    </w:p>
    <w:p w14:paraId="43CC9CB4">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1.本项目不属于联合体参加；</w:t>
      </w:r>
    </w:p>
    <w:p w14:paraId="7C736B7F">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2.本项目不进行合同分包；</w:t>
      </w:r>
    </w:p>
    <w:p w14:paraId="0B82F8C2">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二、完全接受和满足本项目比选文件中规定的实质性要求，如对比选文件有异议，已经在比选申请截止时间届满前依法进行维权救济，不存在对比选文件有异议的同时又参加比选以求侥幸中标或者为实现其他非法目的的行为。 </w:t>
      </w:r>
    </w:p>
    <w:p w14:paraId="34848D94">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14:paraId="19191398">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四、参加本次比选采购活动，不存在和其他供应商在同一合同项下的采购项目中，同时委托同一个自然人、同一家庭的人员、同一单位的人员作为代理人的行为。 </w:t>
      </w:r>
    </w:p>
    <w:p w14:paraId="7708656C">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五、如果有《四川省政府采购当事人诚信管理办法》（川财采[2015]33 号）规定的记入诚信档案的失信行为，将在比选申请文件中全面如实反映。 </w:t>
      </w:r>
    </w:p>
    <w:p w14:paraId="0DB8F557">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六、比选文件中提供的能够给予我公司带来优惠、好处的任何材料资料和技术、服务、商务等响应承诺情况都是真实的、有效的、合法的。 </w:t>
      </w:r>
    </w:p>
    <w:p w14:paraId="595DED37">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本公司对上述承诺内容、事项的真实性负责。如经查实上述承诺的内容事项存在虚假，我公司愿意接受以提供虚假材料谋取中标追究法律责任。</w:t>
      </w:r>
    </w:p>
    <w:p w14:paraId="1D683B80">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6DF866E9">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14:paraId="161990B1">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 </w:t>
      </w:r>
    </w:p>
    <w:p w14:paraId="0D782A11">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6437FE21">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6BFCABBC">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4A4D2D51">
      <w:pPr>
        <w:pStyle w:val="3"/>
        <w:rPr>
          <w:rStyle w:val="48"/>
          <w:b/>
          <w:bCs/>
        </w:rPr>
      </w:pPr>
      <w:r>
        <w:rPr>
          <w:rFonts w:hint="eastAsia"/>
        </w:rPr>
        <w:br w:type="page"/>
      </w:r>
      <w:bookmarkStart w:id="97" w:name="_Toc6468"/>
      <w:bookmarkStart w:id="98" w:name="_Toc5495"/>
      <w:bookmarkStart w:id="99" w:name="_Toc14747"/>
      <w:r>
        <w:rPr>
          <w:rFonts w:hint="eastAsia"/>
        </w:rPr>
        <w:t>三、廉政承诺书</w:t>
      </w:r>
      <w:bookmarkEnd w:id="97"/>
      <w:bookmarkEnd w:id="98"/>
      <w:bookmarkEnd w:id="99"/>
    </w:p>
    <w:p w14:paraId="72B0CAD5">
      <w:pPr>
        <w:pStyle w:val="9"/>
      </w:pPr>
    </w:p>
    <w:p w14:paraId="20325EA2">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本公司参与“</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（采购项目）   </w:t>
      </w:r>
      <w:r>
        <w:rPr>
          <w:rFonts w:hint="eastAsia" w:asciiTheme="minorEastAsia" w:hAnsiTheme="minorEastAsia" w:eastAsiaTheme="minorEastAsia"/>
          <w:color w:val="000000" w:themeColor="text1"/>
          <w:sz w:val="28"/>
          <w:szCs w:val="28"/>
          <w14:textFill>
            <w14:solidFill>
              <w14:schemeClr w14:val="tx1"/>
            </w14:solidFill>
          </w14:textFill>
        </w:rPr>
        <w:t xml:space="preserve"> ”，采购项目编号：</w:t>
      </w:r>
      <w:r>
        <w:rPr>
          <w:rFonts w:hint="eastAsia"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14:textFill>
            <w14:solidFill>
              <w14:schemeClr w14:val="tx1"/>
            </w14:solidFill>
          </w14:textFill>
        </w:rPr>
        <w:t xml:space="preserve"> 的比选，现郑重承诺： </w:t>
      </w:r>
    </w:p>
    <w:p w14:paraId="1026E9D0">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一、不以任何方式向项目采购人员、审批人员、监管及行业主管人员以及评审专家等行贿。 </w:t>
      </w:r>
    </w:p>
    <w:p w14:paraId="4DD60687">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二、不以任何方式托人打招呼、求关照，搞利益结盟，腐蚀党和国家机关工作人员。 </w:t>
      </w:r>
    </w:p>
    <w:p w14:paraId="0477A07B">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以上承诺如有违反，请严肃处理，欢迎监督举报！ </w:t>
      </w:r>
    </w:p>
    <w:p w14:paraId="00435B4A">
      <w:pPr>
        <w:pStyle w:val="9"/>
      </w:pPr>
    </w:p>
    <w:p w14:paraId="141D04D7">
      <w:pPr>
        <w:pStyle w:val="10"/>
      </w:pPr>
    </w:p>
    <w:p w14:paraId="58BCBC07">
      <w:pPr>
        <w:pStyle w:val="11"/>
      </w:pPr>
    </w:p>
    <w:p w14:paraId="129B0BFF">
      <w:pP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078631FC">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11FEDA65">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65EAE047">
      <w:pP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br w:type="page"/>
      </w:r>
    </w:p>
    <w:p w14:paraId="60B2C55E">
      <w:pPr>
        <w:pStyle w:val="3"/>
      </w:pPr>
      <w:bookmarkStart w:id="100" w:name="_Toc26094"/>
      <w:bookmarkStart w:id="101" w:name="_Toc7882"/>
      <w:bookmarkStart w:id="102" w:name="_Toc24297"/>
      <w:r>
        <w:rPr>
          <w:rFonts w:hint="eastAsia"/>
        </w:rPr>
        <w:t>四、法定代表人身份证明</w:t>
      </w:r>
      <w:bookmarkEnd w:id="100"/>
      <w:bookmarkEnd w:id="101"/>
      <w:bookmarkEnd w:id="102"/>
    </w:p>
    <w:p w14:paraId="7A3AF238">
      <w:pPr>
        <w:spacing w:line="240" w:lineRule="exact"/>
        <w:jc w:val="center"/>
        <w:rPr>
          <w:rFonts w:ascii="Times New Roman" w:hAnsi="Times New Roman"/>
          <w:color w:val="000000" w:themeColor="text1"/>
          <w:szCs w:val="21"/>
          <w14:textFill>
            <w14:solidFill>
              <w14:schemeClr w14:val="tx1"/>
            </w14:solidFill>
          </w14:textFill>
        </w:rPr>
      </w:pPr>
    </w:p>
    <w:p w14:paraId="1E086170">
      <w:pPr>
        <w:spacing w:line="240" w:lineRule="exact"/>
        <w:jc w:val="center"/>
        <w:rPr>
          <w:rFonts w:ascii="Times New Roman" w:hAnsi="Times New Roman"/>
          <w:color w:val="000000" w:themeColor="text1"/>
          <w:szCs w:val="21"/>
          <w14:textFill>
            <w14:solidFill>
              <w14:schemeClr w14:val="tx1"/>
            </w14:solidFill>
          </w14:textFill>
        </w:rPr>
      </w:pPr>
    </w:p>
    <w:p w14:paraId="726D7D1B">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r>
        <w:rPr>
          <w:rFonts w:ascii="宋体" w:hAnsi="宋体"/>
          <w:color w:val="000000" w:themeColor="text1"/>
          <w:sz w:val="28"/>
          <w:szCs w:val="28"/>
          <w:u w:val="single"/>
          <w14:textFill>
            <w14:solidFill>
              <w14:schemeClr w14:val="tx1"/>
            </w14:solidFill>
          </w14:textFill>
        </w:rPr>
        <w:t xml:space="preserve">                    </w:t>
      </w:r>
    </w:p>
    <w:p w14:paraId="1D3BBE98">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单位性质：</w:t>
      </w:r>
      <w:r>
        <w:rPr>
          <w:rFonts w:ascii="宋体" w:hAnsi="宋体"/>
          <w:color w:val="000000" w:themeColor="text1"/>
          <w:sz w:val="28"/>
          <w:szCs w:val="28"/>
          <w:u w:val="single"/>
          <w14:textFill>
            <w14:solidFill>
              <w14:schemeClr w14:val="tx1"/>
            </w14:solidFill>
          </w14:textFill>
        </w:rPr>
        <w:t xml:space="preserve">                          </w:t>
      </w:r>
    </w:p>
    <w:p w14:paraId="465FB0A8">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地址：</w:t>
      </w:r>
      <w:r>
        <w:rPr>
          <w:rFonts w:ascii="宋体" w:hAnsi="宋体"/>
          <w:color w:val="000000" w:themeColor="text1"/>
          <w:sz w:val="28"/>
          <w:szCs w:val="28"/>
          <w:u w:val="single"/>
          <w14:textFill>
            <w14:solidFill>
              <w14:schemeClr w14:val="tx1"/>
            </w14:solidFill>
          </w14:textFill>
        </w:rPr>
        <w:t xml:space="preserve">                              </w:t>
      </w:r>
    </w:p>
    <w:p w14:paraId="67F1E270">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12479DF6">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经营期限：</w:t>
      </w:r>
      <w:r>
        <w:rPr>
          <w:rFonts w:ascii="宋体" w:hAnsi="宋体"/>
          <w:color w:val="000000" w:themeColor="text1"/>
          <w:sz w:val="28"/>
          <w:szCs w:val="28"/>
          <w:u w:val="single"/>
          <w14:textFill>
            <w14:solidFill>
              <w14:schemeClr w14:val="tx1"/>
            </w14:solidFill>
          </w14:textFill>
        </w:rPr>
        <w:t xml:space="preserve">                    </w:t>
      </w:r>
    </w:p>
    <w:p w14:paraId="18D8938B">
      <w:pPr>
        <w:spacing w:line="580" w:lineRule="exact"/>
        <w:ind w:firstLine="560" w:firstLineChars="200"/>
        <w:rPr>
          <w:rFonts w:ascii="宋体" w:hAnsi="宋体"/>
          <w:color w:val="000000" w:themeColor="text1"/>
          <w:sz w:val="28"/>
          <w:szCs w:val="28"/>
          <w14:textFill>
            <w14:solidFill>
              <w14:schemeClr w14:val="tx1"/>
            </w14:solidFill>
          </w14:textFill>
        </w:rPr>
      </w:pPr>
    </w:p>
    <w:p w14:paraId="251B804A">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性别：</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年龄：</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职务：</w:t>
      </w:r>
      <w:r>
        <w:rPr>
          <w:rFonts w:ascii="宋体" w:hAnsi="宋体"/>
          <w:color w:val="000000" w:themeColor="text1"/>
          <w:sz w:val="28"/>
          <w:szCs w:val="28"/>
          <w:u w:val="single"/>
          <w14:textFill>
            <w14:solidFill>
              <w14:schemeClr w14:val="tx1"/>
            </w14:solidFill>
          </w14:textFill>
        </w:rPr>
        <w:t xml:space="preserve">         </w:t>
      </w:r>
    </w:p>
    <w:p w14:paraId="4F7C9988">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（比选申请人名称）</w:t>
      </w:r>
      <w:r>
        <w:rPr>
          <w:rFonts w:ascii="宋体" w:hAnsi="宋体"/>
          <w:color w:val="000000" w:themeColor="text1"/>
          <w:sz w:val="28"/>
          <w:szCs w:val="28"/>
          <w14:textFill>
            <w14:solidFill>
              <w14:schemeClr w14:val="tx1"/>
            </w14:solidFill>
          </w14:textFill>
        </w:rPr>
        <w:t>的法定代表人。</w:t>
      </w:r>
    </w:p>
    <w:p w14:paraId="1E80E195">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      特此证明。</w:t>
      </w:r>
    </w:p>
    <w:p w14:paraId="10AC5BF1">
      <w:pPr>
        <w:spacing w:line="580" w:lineRule="exact"/>
        <w:ind w:firstLine="560" w:firstLineChars="200"/>
        <w:rPr>
          <w:rFonts w:ascii="宋体" w:hAnsi="宋体"/>
          <w:color w:val="000000" w:themeColor="text1"/>
          <w:sz w:val="28"/>
          <w:szCs w:val="28"/>
          <w:u w:val="single"/>
          <w14:textFill>
            <w14:solidFill>
              <w14:schemeClr w14:val="tx1"/>
            </w14:solidFill>
          </w14:textFill>
        </w:rPr>
      </w:pPr>
    </w:p>
    <w:p w14:paraId="5073FA93">
      <w:pPr>
        <w:spacing w:line="580" w:lineRule="exact"/>
        <w:ind w:firstLine="560" w:firstLineChars="200"/>
        <w:rPr>
          <w:rFonts w:ascii="宋体" w:hAnsi="宋体"/>
          <w:color w:val="000000" w:themeColor="text1"/>
          <w:kern w:val="0"/>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kern w:val="0"/>
          <w:sz w:val="28"/>
          <w:szCs w:val="28"/>
          <w14:textFill>
            <w14:solidFill>
              <w14:schemeClr w14:val="tx1"/>
            </w14:solidFill>
          </w14:textFill>
        </w:rPr>
        <w:t>：</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kern w:val="0"/>
          <w:sz w:val="28"/>
          <w:szCs w:val="28"/>
          <w14:textFill>
            <w14:solidFill>
              <w14:schemeClr w14:val="tx1"/>
            </w14:solidFill>
          </w14:textFill>
        </w:rPr>
        <w:t>（盖章）</w:t>
      </w:r>
    </w:p>
    <w:p w14:paraId="5CAD6D6A">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日期：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4995F2EC">
      <w:pPr>
        <w:spacing w:line="580" w:lineRule="exact"/>
        <w:ind w:firstLine="560" w:firstLineChars="200"/>
        <w:rPr>
          <w:rFonts w:ascii="宋体" w:hAnsi="宋体"/>
          <w:color w:val="000000" w:themeColor="text1"/>
          <w:sz w:val="28"/>
          <w:szCs w:val="28"/>
          <w14:textFill>
            <w14:solidFill>
              <w14:schemeClr w14:val="tx1"/>
            </w14:solidFill>
          </w14:textFill>
        </w:rPr>
      </w:pPr>
    </w:p>
    <w:p w14:paraId="75AE53CA">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注：法定代表人身份证明书后面须附法定代表人身份证复印件。</w:t>
      </w:r>
    </w:p>
    <w:p w14:paraId="21523E4C">
      <w:pPr>
        <w:rPr>
          <w:rFonts w:ascii="Times New Roman" w:hAnsi="Times New Roman"/>
          <w:color w:val="000000" w:themeColor="text1"/>
          <w:sz w:val="24"/>
          <w14:textFill>
            <w14:solidFill>
              <w14:schemeClr w14:val="tx1"/>
            </w14:solidFill>
          </w14:textFill>
        </w:rPr>
      </w:pPr>
    </w:p>
    <w:p w14:paraId="47DC13D4">
      <w:pPr>
        <w:pStyle w:val="3"/>
        <w:rPr>
          <w:rFonts w:ascii="Times New Roman" w:hAnsi="Times New Roman"/>
          <w:sz w:val="24"/>
        </w:rPr>
      </w:pPr>
      <w:r>
        <w:rPr>
          <w:rFonts w:ascii="Times New Roman" w:hAnsi="Times New Roman"/>
          <w:sz w:val="24"/>
        </w:rPr>
        <w:br w:type="page"/>
      </w:r>
      <w:bookmarkStart w:id="103" w:name="_Toc19454"/>
      <w:bookmarkStart w:id="104" w:name="_Toc14488"/>
      <w:bookmarkStart w:id="105" w:name="_Toc16200"/>
      <w:bookmarkStart w:id="106" w:name="_Toc12112"/>
      <w:bookmarkStart w:id="107" w:name="_Toc15036"/>
      <w:r>
        <w:rPr>
          <w:rFonts w:hint="eastAsia"/>
        </w:rPr>
        <w:t>五、法定代表人授权委托书</w:t>
      </w:r>
      <w:bookmarkEnd w:id="103"/>
      <w:bookmarkEnd w:id="104"/>
      <w:bookmarkEnd w:id="105"/>
      <w:bookmarkEnd w:id="106"/>
      <w:bookmarkEnd w:id="107"/>
    </w:p>
    <w:p w14:paraId="58F3BF9A">
      <w:pPr>
        <w:rPr>
          <w:rFonts w:ascii="Times New Roman" w:hAnsi="Times New Roman"/>
          <w:color w:val="000000" w:themeColor="text1"/>
          <w:sz w:val="24"/>
          <w14:textFill>
            <w14:solidFill>
              <w14:schemeClr w14:val="tx1"/>
            </w14:solidFill>
          </w14:textFill>
        </w:rPr>
      </w:pPr>
    </w:p>
    <w:p w14:paraId="460852A1">
      <w:pPr>
        <w:spacing w:line="360" w:lineRule="auto"/>
        <w:jc w:val="center"/>
        <w:rPr>
          <w:rFonts w:ascii="Times New Roman" w:hAnsi="Times New Roman"/>
          <w:color w:val="000000" w:themeColor="text1"/>
          <w:sz w:val="24"/>
          <w14:textFill>
            <w14:solidFill>
              <w14:schemeClr w14:val="tx1"/>
            </w14:solidFill>
          </w14:textFill>
        </w:rPr>
      </w:pPr>
    </w:p>
    <w:p w14:paraId="2453513F">
      <w:pPr>
        <w:spacing w:line="580" w:lineRule="exact"/>
        <w:jc w:val="left"/>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u w:val="single"/>
          <w14:textFill>
            <w14:solidFill>
              <w14:schemeClr w14:val="tx1"/>
            </w14:solidFill>
          </w14:textFill>
        </w:rPr>
        <w:t>（比选人）</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p>
    <w:p w14:paraId="447ED40C">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本人</w:t>
      </w:r>
      <w:r>
        <w:rPr>
          <w:rFonts w:ascii="宋体" w:hAnsi="宋体"/>
          <w:color w:val="000000" w:themeColor="text1"/>
          <w:sz w:val="28"/>
          <w:szCs w:val="28"/>
          <w:u w:val="single"/>
          <w14:textFill>
            <w14:solidFill>
              <w14:schemeClr w14:val="tx1"/>
            </w14:solidFill>
          </w14:textFill>
        </w:rPr>
        <w:t xml:space="preserve">        （姓名）</w:t>
      </w: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（比选申请人名称）</w:t>
      </w:r>
      <w:r>
        <w:rPr>
          <w:rFonts w:ascii="宋体" w:hAnsi="宋体"/>
          <w:color w:val="000000" w:themeColor="text1"/>
          <w:sz w:val="28"/>
          <w:szCs w:val="28"/>
          <w14:textFill>
            <w14:solidFill>
              <w14:schemeClr w14:val="tx1"/>
            </w14:solidFill>
          </w14:textFill>
        </w:rPr>
        <w:t>的法定代表人，现委托本单位人员</w:t>
      </w:r>
      <w:r>
        <w:rPr>
          <w:rFonts w:ascii="宋体" w:hAnsi="宋体"/>
          <w:color w:val="000000" w:themeColor="text1"/>
          <w:sz w:val="28"/>
          <w:szCs w:val="28"/>
          <w:u w:val="single"/>
          <w14:textFill>
            <w14:solidFill>
              <w14:schemeClr w14:val="tx1"/>
            </w14:solidFill>
          </w14:textFill>
        </w:rPr>
        <w:t>（姓名）</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为我方代理人。代理人根据授权，以我方名义签署、澄清、说明、补正、递交、撤回、修改</w:t>
      </w:r>
      <w:r>
        <w:rPr>
          <w:rFonts w:ascii="宋体" w:hAnsi="宋体"/>
          <w:color w:val="000000" w:themeColor="text1"/>
          <w:sz w:val="28"/>
          <w:szCs w:val="28"/>
          <w:u w:val="single"/>
          <w14:textFill>
            <w14:solidFill>
              <w14:schemeClr w14:val="tx1"/>
            </w14:solidFill>
          </w14:textFill>
        </w:rPr>
        <w:t>（项目名称）</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的比选申请文件，其法律后果由我方承担。</w:t>
      </w:r>
    </w:p>
    <w:p w14:paraId="7E671BCA">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代理人无转委托权。</w:t>
      </w:r>
    </w:p>
    <w:p w14:paraId="3D0711E4">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5D3724CF">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附：委托代理人身份证复印件</w:t>
      </w:r>
    </w:p>
    <w:p w14:paraId="12729F87">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3023F3BA">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15442C2E">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36F15F30">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4FB0E10B">
      <w:pPr>
        <w:spacing w:line="580" w:lineRule="exact"/>
        <w:ind w:firstLine="560" w:firstLineChars="200"/>
        <w:jc w:val="left"/>
        <w:rPr>
          <w:rFonts w:ascii="宋体" w:hAnsi="宋体"/>
          <w:color w:val="000000" w:themeColor="text1"/>
          <w:sz w:val="28"/>
          <w:szCs w:val="28"/>
          <w14:textFill>
            <w14:solidFill>
              <w14:schemeClr w14:val="tx1"/>
            </w14:solidFill>
          </w14:textFill>
        </w:rPr>
      </w:pPr>
    </w:p>
    <w:p w14:paraId="419BCAF5">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（盖章）</w:t>
      </w:r>
    </w:p>
    <w:p w14:paraId="48B824CE">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0BB5C05E">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7AAB849C">
      <w:pPr>
        <w:pStyle w:val="7"/>
        <w:keepNext w:val="0"/>
        <w:keepLines w:val="0"/>
        <w:pageBreakBefore w:val="0"/>
        <w:widowControl w:val="0"/>
        <w:kinsoku/>
        <w:wordWrap/>
        <w:overflowPunct/>
        <w:topLinePunct w:val="0"/>
        <w:autoSpaceDE/>
        <w:autoSpaceDN/>
        <w:bidi w:val="0"/>
        <w:adjustRightInd/>
        <w:snapToGrid/>
        <w:spacing w:line="578" w:lineRule="exact"/>
        <w:textAlignment w:val="auto"/>
      </w:pPr>
      <w:r>
        <w:rPr>
          <w:rFonts w:hint="eastAsia" w:hAnsi="Times New Roman" w:cs="Times New Roman"/>
          <w:color w:val="000000" w:themeColor="text1"/>
          <w:sz w:val="28"/>
          <w:szCs w:val="28"/>
          <w:lang w:val="en-US" w:eastAsia="zh-CN"/>
          <w14:textFill>
            <w14:solidFill>
              <w14:schemeClr w14:val="tx1"/>
            </w14:solidFill>
          </w14:textFill>
        </w:rPr>
        <w:t>委托代理人联系电话：</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73E30E45">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31FA7A25">
      <w:pPr>
        <w:spacing w:line="360" w:lineRule="auto"/>
        <w:jc w:val="left"/>
        <w:rPr>
          <w:rFonts w:ascii="宋体" w:hAnsi="宋体"/>
          <w:color w:val="000000" w:themeColor="text1"/>
          <w:sz w:val="28"/>
          <w:szCs w:val="28"/>
          <w14:textFill>
            <w14:solidFill>
              <w14:schemeClr w14:val="tx1"/>
            </w14:solidFill>
          </w14:textFill>
        </w:rPr>
      </w:pPr>
    </w:p>
    <w:p w14:paraId="169E5166">
      <w:pPr>
        <w:spacing w:line="360" w:lineRule="auto"/>
        <w:jc w:val="left"/>
        <w:rPr>
          <w:rFonts w:ascii="宋体" w:hAnsi="宋体"/>
          <w:color w:val="000000" w:themeColor="text1"/>
          <w:sz w:val="28"/>
          <w:szCs w:val="28"/>
          <w14:textFill>
            <w14:solidFill>
              <w14:schemeClr w14:val="tx1"/>
            </w14:solidFill>
          </w14:textFill>
        </w:rPr>
      </w:pPr>
    </w:p>
    <w:p w14:paraId="024FA305">
      <w:r>
        <w:rPr>
          <w:rFonts w:ascii="宋体" w:hAnsi="宋体"/>
          <w:color w:val="000000" w:themeColor="text1"/>
          <w:sz w:val="28"/>
          <w:szCs w:val="28"/>
          <w14:textFill>
            <w14:solidFill>
              <w14:schemeClr w14:val="tx1"/>
            </w14:solidFill>
          </w14:textFill>
        </w:rPr>
        <w:br w:type="page"/>
      </w:r>
    </w:p>
    <w:p w14:paraId="5E7C29FF">
      <w:pPr>
        <w:pStyle w:val="3"/>
      </w:pPr>
      <w:bookmarkStart w:id="108" w:name="_Toc9332"/>
      <w:bookmarkStart w:id="109" w:name="_Toc10538"/>
      <w:bookmarkStart w:id="110" w:name="_Toc16260"/>
      <w:r>
        <w:rPr>
          <w:rFonts w:hint="eastAsia"/>
        </w:rPr>
        <w:t>六、资格证明材料清单（证明材料附后）</w:t>
      </w:r>
      <w:bookmarkEnd w:id="108"/>
      <w:bookmarkEnd w:id="109"/>
      <w:bookmarkEnd w:id="110"/>
    </w:p>
    <w:p w14:paraId="2F2FA6D7">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 xml:space="preserve">比选申请人必须按本比选文件“第二章 第三条比选申请人资格要求、相关证明材料”要求提供相关证明材料。否则，视为无效投标。 </w:t>
      </w:r>
    </w:p>
    <w:p w14:paraId="1350BE63">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比选申请人资格要求、相关证明材料清单：</w:t>
      </w:r>
    </w:p>
    <w:p w14:paraId="42720D15">
      <w:pPr>
        <w:spacing w:line="580" w:lineRule="exact"/>
        <w:ind w:firstLine="560" w:firstLineChars="200"/>
        <w:rPr>
          <w:rFonts w:ascii="宋体" w:hAnsi="宋体"/>
          <w:color w:val="000000" w:themeColor="text1"/>
          <w:sz w:val="28"/>
          <w:szCs w:val="28"/>
          <w14:textFill>
            <w14:solidFill>
              <w14:schemeClr w14:val="tx1"/>
            </w14:solidFill>
          </w14:textFill>
        </w:rPr>
      </w:pPr>
      <w:bookmarkStart w:id="111" w:name="_Toc157301603"/>
      <w:bookmarkStart w:id="112" w:name="_Toc24969"/>
      <w:bookmarkStart w:id="113" w:name="_Toc5147"/>
      <w:bookmarkStart w:id="114" w:name="_Toc335308590"/>
      <w:bookmarkStart w:id="115" w:name="_Toc257725849"/>
      <w:r>
        <w:rPr>
          <w:rFonts w:ascii="宋体" w:hAnsi="宋体"/>
          <w:color w:val="000000" w:themeColor="text1"/>
          <w:sz w:val="28"/>
          <w:szCs w:val="28"/>
          <w14:textFill>
            <w14:solidFill>
              <w14:schemeClr w14:val="tx1"/>
            </w14:solidFill>
          </w14:textFill>
        </w:rPr>
        <w:t>（一）在中华人民共和国境内注册，具有独立承担民事责任能力的机构（提供“三证合一”的营业执照复印件）</w:t>
      </w:r>
    </w:p>
    <w:p w14:paraId="126D2A9C">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（二）具有良好的商业信誉和健全的财务会计制度【</w:t>
      </w:r>
      <w:r>
        <w:rPr>
          <w:rFonts w:hint="eastAsia" w:ascii="宋体" w:hAnsi="宋体"/>
          <w:color w:val="000000" w:themeColor="text1"/>
          <w:sz w:val="28"/>
          <w:szCs w:val="28"/>
          <w14:textFill>
            <w14:solidFill>
              <w14:schemeClr w14:val="tx1"/>
            </w14:solidFill>
          </w14:textFill>
        </w:rPr>
        <w:t>XX年审计报告……</w:t>
      </w:r>
      <w:r>
        <w:rPr>
          <w:rFonts w:ascii="宋体" w:hAnsi="宋体"/>
          <w:color w:val="000000" w:themeColor="text1"/>
          <w:sz w:val="28"/>
          <w:szCs w:val="28"/>
          <w14:textFill>
            <w14:solidFill>
              <w14:schemeClr w14:val="tx1"/>
            </w14:solidFill>
          </w14:textFill>
        </w:rPr>
        <w:t>】</w:t>
      </w:r>
    </w:p>
    <w:p w14:paraId="7D950D63">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（三）具有履行合同所必须的设备和专业技术能力（</w:t>
      </w:r>
      <w:r>
        <w:rPr>
          <w:rFonts w:hint="eastAsia" w:ascii="宋体" w:hAnsi="宋体"/>
          <w:color w:val="000000" w:themeColor="text1"/>
          <w:sz w:val="28"/>
          <w:szCs w:val="28"/>
          <w14:textFill>
            <w14:solidFill>
              <w14:schemeClr w14:val="tx1"/>
            </w14:solidFill>
          </w14:textFill>
        </w:rPr>
        <w:t>承诺函</w:t>
      </w:r>
      <w:r>
        <w:rPr>
          <w:rFonts w:ascii="宋体" w:hAnsi="宋体"/>
          <w:color w:val="000000" w:themeColor="text1"/>
          <w:sz w:val="28"/>
          <w:szCs w:val="28"/>
          <w14:textFill>
            <w14:solidFill>
              <w14:schemeClr w14:val="tx1"/>
            </w14:solidFill>
          </w14:textFill>
        </w:rPr>
        <w:t>）</w:t>
      </w:r>
    </w:p>
    <w:p w14:paraId="2E1416EC">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（四）具有依法缴纳税收和社会保障资金的良好记录（</w:t>
      </w:r>
      <w:r>
        <w:rPr>
          <w:rFonts w:hint="eastAsia" w:ascii="宋体" w:hAnsi="宋体"/>
          <w:color w:val="000000" w:themeColor="text1"/>
          <w:sz w:val="28"/>
          <w:szCs w:val="28"/>
          <w14:textFill>
            <w14:solidFill>
              <w14:schemeClr w14:val="tx1"/>
            </w14:solidFill>
          </w14:textFill>
        </w:rPr>
        <w:t>XX年X月纳税证明……</w:t>
      </w:r>
      <w:r>
        <w:rPr>
          <w:rFonts w:ascii="宋体" w:hAnsi="宋体"/>
          <w:color w:val="000000" w:themeColor="text1"/>
          <w:sz w:val="28"/>
          <w:szCs w:val="28"/>
          <w14:textFill>
            <w14:solidFill>
              <w14:schemeClr w14:val="tx1"/>
            </w14:solidFill>
          </w14:textFill>
        </w:rPr>
        <w:t>）</w:t>
      </w:r>
    </w:p>
    <w:p w14:paraId="45162163">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（五）参加本次比选活动前三年内，在经营活动中没有重大违法违规记录（无违法记录的书面声明及“信用中国”</w:t>
      </w:r>
      <w:r>
        <w:rPr>
          <w:rFonts w:hint="eastAsia" w:ascii="宋体" w:hAnsi="宋体"/>
          <w:color w:val="000000" w:themeColor="text1"/>
          <w:sz w:val="28"/>
          <w:szCs w:val="28"/>
          <w14:textFill>
            <w14:solidFill>
              <w14:schemeClr w14:val="tx1"/>
            </w14:solidFill>
          </w14:textFill>
        </w:rPr>
        <w:t>下载的信用信息报告</w:t>
      </w:r>
      <w:r>
        <w:rPr>
          <w:rFonts w:ascii="宋体" w:hAnsi="宋体"/>
          <w:color w:val="000000" w:themeColor="text1"/>
          <w:sz w:val="28"/>
          <w:szCs w:val="28"/>
          <w14:textFill>
            <w14:solidFill>
              <w14:schemeClr w14:val="tx1"/>
            </w14:solidFill>
          </w14:textFill>
        </w:rPr>
        <w:t>）</w:t>
      </w:r>
    </w:p>
    <w:p w14:paraId="1141F0B7">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（六）在参加本次采购活动中，不存在与单位负责人为同一人或者存在直接控股、管理关系的其他供应商参与同一合同项下的采购活动的行为(承诺函)</w:t>
      </w:r>
    </w:p>
    <w:p w14:paraId="48358BFC">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（七）在参加本次采购活动中，不存在和其他供应商在同一合同项下的采购项目中，同时委托同一个自然人、同一家庭的人员、同一单位的人员作为代理人的行为(承诺函)</w:t>
      </w:r>
    </w:p>
    <w:p w14:paraId="59EB95E6">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（八）</w:t>
      </w:r>
      <w:r>
        <w:rPr>
          <w:rFonts w:hint="eastAsia" w:asciiTheme="minorEastAsia" w:hAnsiTheme="minorEastAsia"/>
          <w:color w:val="000000" w:themeColor="text1"/>
          <w:sz w:val="28"/>
          <w:szCs w:val="28"/>
          <w14:textFill>
            <w14:solidFill>
              <w14:schemeClr w14:val="tx1"/>
            </w14:solidFill>
          </w14:textFill>
        </w:rPr>
        <w:t>本项目特殊资质要求</w:t>
      </w:r>
    </w:p>
    <w:p w14:paraId="141DF9FD">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1、本项目不允许联合体参加（承诺函）。</w:t>
      </w:r>
    </w:p>
    <w:p w14:paraId="2C067A32">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2、本项目不允许合同分包（承诺函）。</w:t>
      </w:r>
    </w:p>
    <w:p w14:paraId="3D545EE4">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（九）</w:t>
      </w:r>
      <w:r>
        <w:rPr>
          <w:rFonts w:ascii="宋体" w:hAnsi="宋体"/>
          <w:color w:val="000000" w:themeColor="text1"/>
          <w:sz w:val="28"/>
          <w:szCs w:val="28"/>
          <w14:textFill>
            <w14:solidFill>
              <w14:schemeClr w14:val="tx1"/>
            </w14:solidFill>
          </w14:textFill>
        </w:rPr>
        <w:t>其他类似效力要求：</w:t>
      </w:r>
    </w:p>
    <w:p w14:paraId="433A4BC6">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①法定代表人身份证明</w:t>
      </w:r>
    </w:p>
    <w:p w14:paraId="7F6719FB">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②法定代表人授权委托书</w:t>
      </w:r>
    </w:p>
    <w:p w14:paraId="0ECC8B55">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③法人及</w:t>
      </w:r>
      <w:r>
        <w:rPr>
          <w:rFonts w:hint="eastAsia" w:ascii="宋体" w:hAnsi="宋体"/>
          <w:color w:val="000000" w:themeColor="text1"/>
          <w:sz w:val="28"/>
          <w:szCs w:val="28"/>
          <w14:textFill>
            <w14:solidFill>
              <w14:schemeClr w14:val="tx1"/>
            </w14:solidFill>
          </w14:textFill>
        </w:rPr>
        <w:t>被授权人</w:t>
      </w:r>
      <w:r>
        <w:rPr>
          <w:rFonts w:ascii="宋体" w:hAnsi="宋体"/>
          <w:color w:val="000000" w:themeColor="text1"/>
          <w:sz w:val="28"/>
          <w:szCs w:val="28"/>
          <w14:textFill>
            <w14:solidFill>
              <w14:schemeClr w14:val="tx1"/>
            </w14:solidFill>
          </w14:textFill>
        </w:rPr>
        <w:t>身份</w:t>
      </w:r>
      <w:r>
        <w:rPr>
          <w:rFonts w:hint="eastAsia" w:ascii="宋体" w:hAnsi="宋体"/>
          <w:color w:val="000000" w:themeColor="text1"/>
          <w:sz w:val="28"/>
          <w:szCs w:val="28"/>
          <w:lang w:val="en-US" w:eastAsia="zh-CN"/>
          <w14:textFill>
            <w14:solidFill>
              <w14:schemeClr w14:val="tx1"/>
            </w14:solidFill>
          </w14:textFill>
        </w:rPr>
        <w:t>证</w:t>
      </w:r>
      <w:r>
        <w:rPr>
          <w:rFonts w:ascii="宋体" w:hAnsi="宋体"/>
          <w:color w:val="000000" w:themeColor="text1"/>
          <w:sz w:val="28"/>
          <w:szCs w:val="28"/>
          <w14:textFill>
            <w14:solidFill>
              <w14:schemeClr w14:val="tx1"/>
            </w14:solidFill>
          </w14:textFill>
        </w:rPr>
        <w:t>复印件</w:t>
      </w:r>
    </w:p>
    <w:p w14:paraId="4672259B"/>
    <w:p w14:paraId="37704D32"/>
    <w:p w14:paraId="148C5E14">
      <w:r>
        <w:rPr>
          <w:rFonts w:hint="eastAsia"/>
        </w:rPr>
        <w:br w:type="page"/>
      </w:r>
    </w:p>
    <w:p w14:paraId="6F2077BB">
      <w:pPr>
        <w:pStyle w:val="3"/>
        <w:rPr>
          <w:rFonts w:ascii="Times New Roman" w:hAnsi="Times New Roman"/>
        </w:rPr>
      </w:pPr>
      <w:bookmarkStart w:id="116" w:name="_Toc18210"/>
      <w:bookmarkStart w:id="117" w:name="_Toc29550"/>
      <w:bookmarkStart w:id="118" w:name="_Toc22497"/>
      <w:r>
        <w:rPr>
          <w:rFonts w:hint="eastAsia"/>
        </w:rPr>
        <w:t>七</w:t>
      </w:r>
      <w:r>
        <w:t>、比选申请人基本情况表</w:t>
      </w:r>
      <w:bookmarkEnd w:id="116"/>
      <w:bookmarkEnd w:id="117"/>
      <w:bookmarkEnd w:id="118"/>
    </w:p>
    <w:p w14:paraId="3E012093">
      <w:pPr>
        <w:spacing w:line="500" w:lineRule="exact"/>
        <w:jc w:val="left"/>
        <w:rPr>
          <w:rFonts w:ascii="Times New Roman" w:hAnsi="Times New Roman" w:eastAsia="仿宋"/>
          <w:color w:val="000000" w:themeColor="text1"/>
          <w:sz w:val="32"/>
          <w:szCs w:val="32"/>
          <w:u w:val="single"/>
          <w14:textFill>
            <w14:solidFill>
              <w14:schemeClr w14:val="tx1"/>
            </w14:solidFill>
          </w14:textFill>
        </w:rPr>
      </w:pPr>
    </w:p>
    <w:tbl>
      <w:tblPr>
        <w:tblStyle w:val="23"/>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836"/>
        <w:gridCol w:w="349"/>
        <w:gridCol w:w="1872"/>
        <w:gridCol w:w="1533"/>
        <w:gridCol w:w="2420"/>
      </w:tblGrid>
      <w:tr w14:paraId="6BC4F1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3146" w:type="dxa"/>
            <w:gridSpan w:val="2"/>
            <w:vAlign w:val="center"/>
          </w:tcPr>
          <w:p w14:paraId="5FCCC52A">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p>
        </w:tc>
        <w:tc>
          <w:tcPr>
            <w:tcW w:w="6174" w:type="dxa"/>
            <w:gridSpan w:val="4"/>
            <w:vAlign w:val="center"/>
          </w:tcPr>
          <w:p w14:paraId="0ADC7F61">
            <w:pPr>
              <w:spacing w:line="500" w:lineRule="exact"/>
              <w:jc w:val="center"/>
              <w:rPr>
                <w:rFonts w:ascii="宋体" w:hAnsi="宋体"/>
                <w:color w:val="000000" w:themeColor="text1"/>
                <w:sz w:val="28"/>
                <w:szCs w:val="28"/>
                <w14:textFill>
                  <w14:solidFill>
                    <w14:schemeClr w14:val="tx1"/>
                  </w14:solidFill>
                </w14:textFill>
              </w:rPr>
            </w:pPr>
          </w:p>
        </w:tc>
      </w:tr>
      <w:tr w14:paraId="202671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14:paraId="08688450">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注册地址</w:t>
            </w:r>
          </w:p>
        </w:tc>
        <w:tc>
          <w:tcPr>
            <w:tcW w:w="3057" w:type="dxa"/>
            <w:gridSpan w:val="3"/>
            <w:vAlign w:val="center"/>
          </w:tcPr>
          <w:p w14:paraId="1CBDC17E">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326CD7A2">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邮政编码</w:t>
            </w:r>
          </w:p>
        </w:tc>
        <w:tc>
          <w:tcPr>
            <w:tcW w:w="2420" w:type="dxa"/>
            <w:vAlign w:val="center"/>
          </w:tcPr>
          <w:p w14:paraId="1D3CF1D2">
            <w:pPr>
              <w:spacing w:line="500" w:lineRule="exact"/>
              <w:jc w:val="center"/>
              <w:rPr>
                <w:rFonts w:ascii="宋体" w:hAnsi="宋体"/>
                <w:color w:val="000000" w:themeColor="text1"/>
                <w:sz w:val="28"/>
                <w:szCs w:val="28"/>
                <w14:textFill>
                  <w14:solidFill>
                    <w14:schemeClr w14:val="tx1"/>
                  </w14:solidFill>
                </w14:textFill>
              </w:rPr>
            </w:pPr>
          </w:p>
        </w:tc>
      </w:tr>
      <w:tr w14:paraId="11B446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14:paraId="4F09FB9A">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联系方式</w:t>
            </w:r>
          </w:p>
        </w:tc>
        <w:tc>
          <w:tcPr>
            <w:tcW w:w="1185" w:type="dxa"/>
            <w:gridSpan w:val="2"/>
            <w:vAlign w:val="center"/>
          </w:tcPr>
          <w:p w14:paraId="6D02AD80">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联系人</w:t>
            </w:r>
          </w:p>
        </w:tc>
        <w:tc>
          <w:tcPr>
            <w:tcW w:w="1872" w:type="dxa"/>
            <w:vAlign w:val="center"/>
          </w:tcPr>
          <w:p w14:paraId="3622539E">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1384F00F">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14:paraId="2B376797">
            <w:pPr>
              <w:spacing w:line="500" w:lineRule="exact"/>
              <w:jc w:val="center"/>
              <w:rPr>
                <w:rFonts w:ascii="宋体" w:hAnsi="宋体"/>
                <w:color w:val="000000" w:themeColor="text1"/>
                <w:sz w:val="28"/>
                <w:szCs w:val="28"/>
                <w14:textFill>
                  <w14:solidFill>
                    <w14:schemeClr w14:val="tx1"/>
                  </w14:solidFill>
                </w14:textFill>
              </w:rPr>
            </w:pPr>
          </w:p>
        </w:tc>
      </w:tr>
      <w:tr w14:paraId="2FA1C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14:paraId="37B90736">
            <w:pPr>
              <w:spacing w:line="500" w:lineRule="exact"/>
              <w:jc w:val="center"/>
              <w:rPr>
                <w:rFonts w:ascii="宋体" w:hAnsi="宋体"/>
                <w:color w:val="000000" w:themeColor="text1"/>
                <w:sz w:val="28"/>
                <w:szCs w:val="28"/>
                <w14:textFill>
                  <w14:solidFill>
                    <w14:schemeClr w14:val="tx1"/>
                  </w14:solidFill>
                </w14:textFill>
              </w:rPr>
            </w:pPr>
          </w:p>
        </w:tc>
        <w:tc>
          <w:tcPr>
            <w:tcW w:w="1185" w:type="dxa"/>
            <w:gridSpan w:val="2"/>
            <w:vAlign w:val="center"/>
          </w:tcPr>
          <w:p w14:paraId="6B4729A9">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传真</w:t>
            </w:r>
          </w:p>
        </w:tc>
        <w:tc>
          <w:tcPr>
            <w:tcW w:w="1872" w:type="dxa"/>
            <w:vAlign w:val="center"/>
          </w:tcPr>
          <w:p w14:paraId="120562EE">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4269019F">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网址</w:t>
            </w:r>
          </w:p>
        </w:tc>
        <w:tc>
          <w:tcPr>
            <w:tcW w:w="2420" w:type="dxa"/>
            <w:vAlign w:val="center"/>
          </w:tcPr>
          <w:p w14:paraId="00B6BDD0">
            <w:pPr>
              <w:spacing w:line="500" w:lineRule="exact"/>
              <w:jc w:val="center"/>
              <w:rPr>
                <w:rFonts w:ascii="宋体" w:hAnsi="宋体"/>
                <w:color w:val="000000" w:themeColor="text1"/>
                <w:sz w:val="28"/>
                <w:szCs w:val="28"/>
                <w14:textFill>
                  <w14:solidFill>
                    <w14:schemeClr w14:val="tx1"/>
                  </w14:solidFill>
                </w14:textFill>
              </w:rPr>
            </w:pPr>
          </w:p>
        </w:tc>
      </w:tr>
      <w:tr w14:paraId="49321A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14:paraId="030FDAAF">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p>
        </w:tc>
        <w:tc>
          <w:tcPr>
            <w:tcW w:w="1185" w:type="dxa"/>
            <w:gridSpan w:val="2"/>
            <w:vAlign w:val="center"/>
          </w:tcPr>
          <w:p w14:paraId="19242AB2">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14:paraId="27FD2733">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28AFE9C5">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14:paraId="6CF7946B">
            <w:pPr>
              <w:spacing w:line="500" w:lineRule="exact"/>
              <w:jc w:val="center"/>
              <w:rPr>
                <w:rFonts w:ascii="宋体" w:hAnsi="宋体"/>
                <w:color w:val="000000" w:themeColor="text1"/>
                <w:sz w:val="28"/>
                <w:szCs w:val="28"/>
                <w14:textFill>
                  <w14:solidFill>
                    <w14:schemeClr w14:val="tx1"/>
                  </w14:solidFill>
                </w14:textFill>
              </w:rPr>
            </w:pPr>
          </w:p>
        </w:tc>
      </w:tr>
      <w:tr w14:paraId="5DB83C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14:paraId="58600295">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技术负责人</w:t>
            </w:r>
          </w:p>
        </w:tc>
        <w:tc>
          <w:tcPr>
            <w:tcW w:w="1185" w:type="dxa"/>
            <w:gridSpan w:val="2"/>
            <w:vAlign w:val="center"/>
          </w:tcPr>
          <w:p w14:paraId="36008775">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14:paraId="12A617C8">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14:paraId="2E64E6CD">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14:paraId="552C4724">
            <w:pPr>
              <w:spacing w:line="500" w:lineRule="exact"/>
              <w:jc w:val="center"/>
              <w:rPr>
                <w:rFonts w:ascii="宋体" w:hAnsi="宋体"/>
                <w:color w:val="000000" w:themeColor="text1"/>
                <w:sz w:val="28"/>
                <w:szCs w:val="28"/>
                <w14:textFill>
                  <w14:solidFill>
                    <w14:schemeClr w14:val="tx1"/>
                  </w14:solidFill>
                </w14:textFill>
              </w:rPr>
            </w:pPr>
          </w:p>
        </w:tc>
      </w:tr>
      <w:tr w14:paraId="5237E6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14:paraId="1294639E">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p>
        </w:tc>
        <w:tc>
          <w:tcPr>
            <w:tcW w:w="7010" w:type="dxa"/>
            <w:gridSpan w:val="5"/>
            <w:vAlign w:val="center"/>
          </w:tcPr>
          <w:p w14:paraId="350BDC20">
            <w:pPr>
              <w:spacing w:line="500" w:lineRule="exact"/>
              <w:jc w:val="center"/>
              <w:rPr>
                <w:rFonts w:ascii="宋体" w:hAnsi="宋体"/>
                <w:color w:val="000000" w:themeColor="text1"/>
                <w:sz w:val="28"/>
                <w:szCs w:val="28"/>
                <w14:textFill>
                  <w14:solidFill>
                    <w14:schemeClr w14:val="tx1"/>
                  </w14:solidFill>
                </w14:textFill>
              </w:rPr>
            </w:pPr>
          </w:p>
        </w:tc>
      </w:tr>
      <w:tr w14:paraId="6ED5CC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14:paraId="63DB22DC">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营业执照号</w:t>
            </w:r>
          </w:p>
        </w:tc>
        <w:tc>
          <w:tcPr>
            <w:tcW w:w="7010" w:type="dxa"/>
            <w:gridSpan w:val="5"/>
            <w:vAlign w:val="center"/>
          </w:tcPr>
          <w:p w14:paraId="7F3EBE06">
            <w:pPr>
              <w:spacing w:line="500" w:lineRule="exact"/>
              <w:jc w:val="left"/>
              <w:rPr>
                <w:rFonts w:ascii="宋体" w:hAnsi="宋体"/>
                <w:color w:val="000000" w:themeColor="text1"/>
                <w:sz w:val="28"/>
                <w:szCs w:val="28"/>
                <w14:textFill>
                  <w14:solidFill>
                    <w14:schemeClr w14:val="tx1"/>
                  </w14:solidFill>
                </w14:textFill>
              </w:rPr>
            </w:pPr>
          </w:p>
        </w:tc>
      </w:tr>
      <w:tr w14:paraId="47CB10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14:paraId="487E91FE">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注册资金</w:t>
            </w:r>
          </w:p>
        </w:tc>
        <w:tc>
          <w:tcPr>
            <w:tcW w:w="7010" w:type="dxa"/>
            <w:gridSpan w:val="5"/>
            <w:tcBorders>
              <w:bottom w:val="single" w:color="auto" w:sz="4" w:space="0"/>
            </w:tcBorders>
            <w:vAlign w:val="center"/>
          </w:tcPr>
          <w:p w14:paraId="3759572A">
            <w:pPr>
              <w:spacing w:line="500" w:lineRule="exact"/>
              <w:jc w:val="left"/>
              <w:rPr>
                <w:rFonts w:ascii="宋体" w:hAnsi="宋体"/>
                <w:color w:val="000000" w:themeColor="text1"/>
                <w:sz w:val="28"/>
                <w:szCs w:val="28"/>
                <w14:textFill>
                  <w14:solidFill>
                    <w14:schemeClr w14:val="tx1"/>
                  </w14:solidFill>
                </w14:textFill>
              </w:rPr>
            </w:pPr>
          </w:p>
        </w:tc>
      </w:tr>
      <w:tr w14:paraId="39D583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14:paraId="3DF187F1">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开户银行</w:t>
            </w:r>
          </w:p>
        </w:tc>
        <w:tc>
          <w:tcPr>
            <w:tcW w:w="7010" w:type="dxa"/>
            <w:gridSpan w:val="5"/>
            <w:tcBorders>
              <w:top w:val="single" w:color="auto" w:sz="4" w:space="0"/>
              <w:bottom w:val="single" w:color="auto" w:sz="4" w:space="0"/>
            </w:tcBorders>
            <w:vAlign w:val="center"/>
          </w:tcPr>
          <w:p w14:paraId="29615C00">
            <w:pPr>
              <w:spacing w:line="500" w:lineRule="exact"/>
              <w:jc w:val="left"/>
              <w:rPr>
                <w:rFonts w:ascii="宋体" w:hAnsi="宋体"/>
                <w:color w:val="000000" w:themeColor="text1"/>
                <w:sz w:val="28"/>
                <w:szCs w:val="28"/>
                <w14:textFill>
                  <w14:solidFill>
                    <w14:schemeClr w14:val="tx1"/>
                  </w14:solidFill>
                </w14:textFill>
              </w:rPr>
            </w:pPr>
          </w:p>
        </w:tc>
      </w:tr>
      <w:tr w14:paraId="2E82C3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14:paraId="522038B5">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账号</w:t>
            </w:r>
          </w:p>
        </w:tc>
        <w:tc>
          <w:tcPr>
            <w:tcW w:w="7010" w:type="dxa"/>
            <w:gridSpan w:val="5"/>
            <w:tcBorders>
              <w:top w:val="single" w:color="auto" w:sz="4" w:space="0"/>
            </w:tcBorders>
            <w:vAlign w:val="center"/>
          </w:tcPr>
          <w:p w14:paraId="145823C9">
            <w:pPr>
              <w:spacing w:line="500" w:lineRule="exact"/>
              <w:jc w:val="left"/>
              <w:rPr>
                <w:rFonts w:ascii="宋体" w:hAnsi="宋体"/>
                <w:color w:val="000000" w:themeColor="text1"/>
                <w:sz w:val="28"/>
                <w:szCs w:val="28"/>
                <w14:textFill>
                  <w14:solidFill>
                    <w14:schemeClr w14:val="tx1"/>
                  </w14:solidFill>
                </w14:textFill>
              </w:rPr>
            </w:pPr>
          </w:p>
        </w:tc>
      </w:tr>
      <w:tr w14:paraId="56FDC4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14:paraId="09D2BCAC">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经营范围</w:t>
            </w:r>
          </w:p>
        </w:tc>
        <w:tc>
          <w:tcPr>
            <w:tcW w:w="7010" w:type="dxa"/>
            <w:gridSpan w:val="5"/>
            <w:vAlign w:val="center"/>
          </w:tcPr>
          <w:p w14:paraId="2D9E7C9B">
            <w:pPr>
              <w:spacing w:line="500" w:lineRule="exact"/>
              <w:jc w:val="left"/>
              <w:rPr>
                <w:rFonts w:ascii="宋体" w:hAnsi="宋体"/>
                <w:color w:val="000000" w:themeColor="text1"/>
                <w:sz w:val="28"/>
                <w:szCs w:val="28"/>
                <w14:textFill>
                  <w14:solidFill>
                    <w14:schemeClr w14:val="tx1"/>
                  </w14:solidFill>
                </w14:textFill>
              </w:rPr>
            </w:pPr>
          </w:p>
        </w:tc>
      </w:tr>
      <w:tr w14:paraId="72C4B2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14:paraId="01A244B8">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备注</w:t>
            </w:r>
          </w:p>
        </w:tc>
        <w:tc>
          <w:tcPr>
            <w:tcW w:w="7010" w:type="dxa"/>
            <w:gridSpan w:val="5"/>
            <w:vAlign w:val="center"/>
          </w:tcPr>
          <w:p w14:paraId="1E81CEBE">
            <w:pPr>
              <w:spacing w:line="500" w:lineRule="exact"/>
              <w:rPr>
                <w:rFonts w:ascii="宋体" w:hAnsi="宋体"/>
                <w:color w:val="000000" w:themeColor="text1"/>
                <w:sz w:val="28"/>
                <w:szCs w:val="28"/>
                <w14:textFill>
                  <w14:solidFill>
                    <w14:schemeClr w14:val="tx1"/>
                  </w14:solidFill>
                </w14:textFill>
              </w:rPr>
            </w:pPr>
          </w:p>
        </w:tc>
      </w:tr>
    </w:tbl>
    <w:p w14:paraId="7F30AB62">
      <w:pPr>
        <w:rPr>
          <w:rFonts w:ascii="Times New Roman" w:hAnsi="Times New Roman"/>
          <w:b/>
          <w:bCs/>
          <w:color w:val="000000" w:themeColor="text1"/>
          <w:sz w:val="36"/>
          <w14:textFill>
            <w14:solidFill>
              <w14:schemeClr w14:val="tx1"/>
            </w14:solidFill>
          </w14:textFill>
        </w:rPr>
        <w:sectPr>
          <w:footerReference r:id="rId4" w:type="default"/>
          <w:pgSz w:w="11906" w:h="16838"/>
          <w:pgMar w:top="1270" w:right="1274" w:bottom="1276" w:left="1746" w:header="851" w:footer="822" w:gutter="0"/>
          <w:pgNumType w:fmt="numberInDash"/>
          <w:cols w:space="0" w:num="1"/>
          <w:docGrid w:type="lines" w:linePitch="312" w:charSpace="0"/>
        </w:sectPr>
      </w:pPr>
    </w:p>
    <w:bookmarkEnd w:id="111"/>
    <w:bookmarkEnd w:id="112"/>
    <w:bookmarkEnd w:id="113"/>
    <w:bookmarkEnd w:id="114"/>
    <w:bookmarkEnd w:id="115"/>
    <w:p w14:paraId="02300967">
      <w:pPr>
        <w:pStyle w:val="3"/>
      </w:pPr>
      <w:bookmarkStart w:id="119" w:name="_Toc27793"/>
      <w:bookmarkStart w:id="120" w:name="_Toc142053187"/>
      <w:bookmarkStart w:id="121" w:name="_Toc141859464"/>
      <w:bookmarkStart w:id="122" w:name="_Toc141859399"/>
      <w:bookmarkStart w:id="123" w:name="_Toc29537"/>
      <w:bookmarkStart w:id="124" w:name="_Toc25104"/>
      <w:r>
        <w:rPr>
          <w:rFonts w:hint="eastAsia"/>
        </w:rPr>
        <w:t>八</w:t>
      </w:r>
      <w:r>
        <w:t>、报价明细表</w:t>
      </w:r>
      <w:bookmarkEnd w:id="119"/>
      <w:bookmarkEnd w:id="120"/>
      <w:bookmarkEnd w:id="121"/>
      <w:bookmarkEnd w:id="122"/>
      <w:bookmarkEnd w:id="123"/>
      <w:bookmarkEnd w:id="124"/>
    </w:p>
    <w:p w14:paraId="5379BE28"/>
    <w:tbl>
      <w:tblPr>
        <w:tblStyle w:val="23"/>
        <w:tblpPr w:leftFromText="180" w:rightFromText="180" w:vertAnchor="text" w:horzAnchor="page" w:tblpX="1505" w:tblpY="106"/>
        <w:tblOverlap w:val="never"/>
        <w:tblW w:w="95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4214"/>
        <w:gridCol w:w="1125"/>
        <w:gridCol w:w="1125"/>
        <w:gridCol w:w="1188"/>
        <w:gridCol w:w="1162"/>
      </w:tblGrid>
      <w:tr w14:paraId="455BE9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704" w:type="dxa"/>
            <w:vAlign w:val="center"/>
          </w:tcPr>
          <w:p w14:paraId="2045C421">
            <w:pPr>
              <w:pStyle w:val="50"/>
              <w:spacing w:line="360" w:lineRule="auto"/>
              <w:ind w:left="144"/>
              <w:rPr>
                <w:rFonts w:cs="Times New Roman"/>
                <w:b/>
                <w:sz w:val="24"/>
                <w:szCs w:val="24"/>
              </w:rPr>
            </w:pPr>
            <w:r>
              <w:rPr>
                <w:rFonts w:cs="Times New Roman"/>
                <w:b/>
                <w:sz w:val="24"/>
                <w:szCs w:val="24"/>
              </w:rPr>
              <w:t>序号</w:t>
            </w:r>
          </w:p>
        </w:tc>
        <w:tc>
          <w:tcPr>
            <w:tcW w:w="4214" w:type="dxa"/>
            <w:vAlign w:val="center"/>
          </w:tcPr>
          <w:p w14:paraId="5E5BA48E">
            <w:pPr>
              <w:spacing w:line="280" w:lineRule="exact"/>
              <w:jc w:val="center"/>
              <w:rPr>
                <w:rFonts w:ascii="宋体" w:hAnsi="宋体"/>
                <w:b/>
                <w:sz w:val="24"/>
              </w:rPr>
            </w:pPr>
            <w:r>
              <w:rPr>
                <w:rFonts w:hint="eastAsia"/>
                <w:b/>
                <w:sz w:val="24"/>
              </w:rPr>
              <w:t>项目名称</w:t>
            </w:r>
          </w:p>
        </w:tc>
        <w:tc>
          <w:tcPr>
            <w:tcW w:w="1125" w:type="dxa"/>
            <w:vAlign w:val="center"/>
          </w:tcPr>
          <w:p w14:paraId="77FC7238">
            <w:pPr>
              <w:spacing w:line="280" w:lineRule="exact"/>
              <w:jc w:val="center"/>
              <w:rPr>
                <w:rFonts w:ascii="宋体" w:hAnsi="宋体"/>
                <w:b/>
                <w:sz w:val="24"/>
              </w:rPr>
            </w:pPr>
            <w:r>
              <w:rPr>
                <w:rFonts w:hint="eastAsia" w:ascii="宋体" w:hAnsi="宋体"/>
                <w:b/>
                <w:sz w:val="24"/>
              </w:rPr>
              <w:t>数量</w:t>
            </w:r>
          </w:p>
        </w:tc>
        <w:tc>
          <w:tcPr>
            <w:tcW w:w="1125" w:type="dxa"/>
            <w:vAlign w:val="center"/>
          </w:tcPr>
          <w:p w14:paraId="11B0FA0F">
            <w:pPr>
              <w:spacing w:line="280" w:lineRule="exact"/>
              <w:jc w:val="center"/>
              <w:rPr>
                <w:rFonts w:ascii="宋体" w:hAnsi="宋体"/>
                <w:b/>
                <w:sz w:val="24"/>
              </w:rPr>
            </w:pPr>
            <w:r>
              <w:rPr>
                <w:rFonts w:hint="eastAsia" w:ascii="宋体" w:hAnsi="宋体"/>
                <w:b/>
                <w:sz w:val="24"/>
              </w:rPr>
              <w:t>单价</w:t>
            </w:r>
          </w:p>
          <w:p w14:paraId="1D3B98CC">
            <w:pPr>
              <w:spacing w:line="280" w:lineRule="exact"/>
              <w:jc w:val="center"/>
              <w:rPr>
                <w:rFonts w:ascii="宋体" w:hAnsi="宋体"/>
                <w:b/>
                <w:sz w:val="24"/>
              </w:rPr>
            </w:pPr>
            <w:r>
              <w:rPr>
                <w:rFonts w:hint="eastAsia" w:ascii="宋体" w:hAnsi="宋体"/>
                <w:b/>
                <w:sz w:val="24"/>
              </w:rPr>
              <w:t>(元)</w:t>
            </w:r>
          </w:p>
        </w:tc>
        <w:tc>
          <w:tcPr>
            <w:tcW w:w="1188" w:type="dxa"/>
            <w:vAlign w:val="center"/>
          </w:tcPr>
          <w:p w14:paraId="52656FA4">
            <w:pPr>
              <w:spacing w:line="280" w:lineRule="exact"/>
              <w:jc w:val="center"/>
              <w:rPr>
                <w:rFonts w:ascii="宋体" w:hAnsi="宋体"/>
                <w:b/>
                <w:sz w:val="24"/>
              </w:rPr>
            </w:pPr>
            <w:r>
              <w:rPr>
                <w:rFonts w:hint="eastAsia" w:ascii="宋体" w:hAnsi="宋体"/>
                <w:b/>
                <w:sz w:val="24"/>
              </w:rPr>
              <w:t>总价</w:t>
            </w:r>
          </w:p>
          <w:p w14:paraId="7E96B9CD">
            <w:pPr>
              <w:spacing w:line="280" w:lineRule="exact"/>
              <w:jc w:val="center"/>
              <w:rPr>
                <w:rFonts w:ascii="宋体" w:hAnsi="宋体"/>
                <w:b/>
                <w:sz w:val="24"/>
              </w:rPr>
            </w:pPr>
            <w:r>
              <w:rPr>
                <w:rFonts w:hint="eastAsia" w:ascii="宋体" w:hAnsi="宋体"/>
                <w:b/>
                <w:sz w:val="24"/>
              </w:rPr>
              <w:t>(元)</w:t>
            </w:r>
          </w:p>
        </w:tc>
        <w:tc>
          <w:tcPr>
            <w:tcW w:w="1162" w:type="dxa"/>
            <w:vAlign w:val="center"/>
          </w:tcPr>
          <w:p w14:paraId="5BECDF95">
            <w:pPr>
              <w:pStyle w:val="50"/>
              <w:spacing w:line="360" w:lineRule="auto"/>
              <w:ind w:left="94" w:right="85"/>
              <w:jc w:val="center"/>
              <w:rPr>
                <w:rFonts w:cs="Times New Roman"/>
                <w:b/>
                <w:sz w:val="24"/>
                <w:szCs w:val="24"/>
              </w:rPr>
            </w:pPr>
            <w:r>
              <w:rPr>
                <w:rFonts w:cs="Times New Roman"/>
                <w:b/>
                <w:sz w:val="24"/>
                <w:szCs w:val="24"/>
              </w:rPr>
              <w:t>备注</w:t>
            </w:r>
          </w:p>
        </w:tc>
      </w:tr>
      <w:tr w14:paraId="24C8D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8" w:hRule="atLeast"/>
        </w:trPr>
        <w:tc>
          <w:tcPr>
            <w:tcW w:w="704" w:type="dxa"/>
            <w:vAlign w:val="center"/>
          </w:tcPr>
          <w:p w14:paraId="354CA3A1">
            <w:pPr>
              <w:pStyle w:val="50"/>
              <w:spacing w:line="360" w:lineRule="auto"/>
              <w:rPr>
                <w:rFonts w:ascii="仿宋" w:hAnsi="仿宋" w:eastAsia="仿宋" w:cs="Times New Roman"/>
              </w:rPr>
            </w:pPr>
          </w:p>
        </w:tc>
        <w:tc>
          <w:tcPr>
            <w:tcW w:w="4214" w:type="dxa"/>
            <w:vAlign w:val="center"/>
          </w:tcPr>
          <w:p w14:paraId="59BF68BA">
            <w:pPr>
              <w:pStyle w:val="50"/>
              <w:spacing w:line="360" w:lineRule="auto"/>
              <w:rPr>
                <w:rFonts w:ascii="仿宋" w:hAnsi="仿宋" w:eastAsia="仿宋" w:cs="Times New Roman"/>
              </w:rPr>
            </w:pPr>
          </w:p>
        </w:tc>
        <w:tc>
          <w:tcPr>
            <w:tcW w:w="1125" w:type="dxa"/>
            <w:vAlign w:val="center"/>
          </w:tcPr>
          <w:p w14:paraId="282147F6">
            <w:pPr>
              <w:pStyle w:val="50"/>
              <w:spacing w:line="360" w:lineRule="auto"/>
              <w:jc w:val="center"/>
              <w:rPr>
                <w:rFonts w:ascii="仿宋" w:hAnsi="仿宋" w:eastAsia="仿宋" w:cs="Times New Roman"/>
                <w:lang w:val="en-US"/>
              </w:rPr>
            </w:pPr>
          </w:p>
        </w:tc>
        <w:tc>
          <w:tcPr>
            <w:tcW w:w="1125" w:type="dxa"/>
            <w:vAlign w:val="center"/>
          </w:tcPr>
          <w:p w14:paraId="307BD54E">
            <w:pPr>
              <w:pStyle w:val="50"/>
              <w:spacing w:line="360" w:lineRule="auto"/>
              <w:rPr>
                <w:rFonts w:ascii="仿宋" w:hAnsi="仿宋" w:eastAsia="仿宋" w:cs="Times New Roman"/>
              </w:rPr>
            </w:pPr>
          </w:p>
        </w:tc>
        <w:tc>
          <w:tcPr>
            <w:tcW w:w="1188" w:type="dxa"/>
            <w:vAlign w:val="center"/>
          </w:tcPr>
          <w:p w14:paraId="1705804C">
            <w:pPr>
              <w:pStyle w:val="50"/>
              <w:spacing w:line="360" w:lineRule="auto"/>
              <w:rPr>
                <w:rFonts w:ascii="仿宋" w:hAnsi="仿宋" w:eastAsia="仿宋" w:cs="Times New Roman"/>
              </w:rPr>
            </w:pPr>
          </w:p>
        </w:tc>
        <w:tc>
          <w:tcPr>
            <w:tcW w:w="1162" w:type="dxa"/>
            <w:vAlign w:val="center"/>
          </w:tcPr>
          <w:p w14:paraId="366F265C">
            <w:pPr>
              <w:pStyle w:val="50"/>
              <w:spacing w:line="360" w:lineRule="auto"/>
              <w:rPr>
                <w:rFonts w:ascii="仿宋" w:hAnsi="仿宋" w:eastAsia="仿宋" w:cs="Times New Roman"/>
              </w:rPr>
            </w:pPr>
          </w:p>
        </w:tc>
      </w:tr>
      <w:tr w14:paraId="7EC34C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04" w:type="dxa"/>
            <w:vAlign w:val="center"/>
          </w:tcPr>
          <w:p w14:paraId="315B7400">
            <w:pPr>
              <w:pStyle w:val="50"/>
              <w:spacing w:line="360" w:lineRule="auto"/>
              <w:jc w:val="center"/>
              <w:rPr>
                <w:b/>
                <w:sz w:val="24"/>
              </w:rPr>
            </w:pPr>
          </w:p>
        </w:tc>
        <w:tc>
          <w:tcPr>
            <w:tcW w:w="8814" w:type="dxa"/>
            <w:gridSpan w:val="5"/>
            <w:vAlign w:val="center"/>
          </w:tcPr>
          <w:p w14:paraId="355D8D9A">
            <w:pPr>
              <w:pStyle w:val="50"/>
              <w:spacing w:line="360" w:lineRule="auto"/>
              <w:jc w:val="center"/>
              <w:rPr>
                <w:rFonts w:ascii="仿宋" w:hAnsi="仿宋" w:eastAsia="仿宋" w:cs="Times New Roman"/>
              </w:rPr>
            </w:pPr>
            <w:r>
              <w:rPr>
                <w:rFonts w:hint="eastAsia"/>
                <w:b/>
                <w:sz w:val="24"/>
              </w:rPr>
              <w:t>合计：</w:t>
            </w:r>
            <w:r>
              <w:rPr>
                <w:rFonts w:hint="eastAsia"/>
                <w:b/>
                <w:sz w:val="24"/>
                <w:lang w:val="en-US"/>
              </w:rPr>
              <w:t xml:space="preserve">           元（大写人民币：                          ）</w:t>
            </w:r>
          </w:p>
        </w:tc>
      </w:tr>
    </w:tbl>
    <w:p w14:paraId="19C41451"/>
    <w:p w14:paraId="25477813">
      <w:pPr>
        <w:spacing w:line="360" w:lineRule="auto"/>
        <w:rPr>
          <w:rFonts w:ascii="Times New Roman" w:hAnsi="Times New Roman" w:eastAsia="仿宋"/>
          <w:color w:val="000000" w:themeColor="text1"/>
          <w:sz w:val="32"/>
          <w:szCs w:val="32"/>
          <w14:textFill>
            <w14:solidFill>
              <w14:schemeClr w14:val="tx1"/>
            </w14:solidFill>
          </w14:textFill>
        </w:rPr>
      </w:pPr>
    </w:p>
    <w:p w14:paraId="5231FFB9">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19864384">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6154C2DE">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706E14A9">
      <w:pPr>
        <w:widowControl/>
        <w:jc w:val="left"/>
      </w:pPr>
      <w:r>
        <w:br w:type="page"/>
      </w:r>
    </w:p>
    <w:p w14:paraId="206744FB">
      <w:pPr>
        <w:pStyle w:val="3"/>
      </w:pPr>
      <w:bookmarkStart w:id="125" w:name="_Toc13745"/>
      <w:bookmarkStart w:id="126" w:name="_Toc31480"/>
      <w:bookmarkStart w:id="127" w:name="_Toc23478"/>
      <w:r>
        <w:rPr>
          <w:rFonts w:hint="eastAsia"/>
        </w:rPr>
        <w:t>九、服务要求应答表</w:t>
      </w:r>
      <w:bookmarkEnd w:id="125"/>
      <w:bookmarkEnd w:id="126"/>
      <w:bookmarkEnd w:id="127"/>
    </w:p>
    <w:p w14:paraId="0A310C04"/>
    <w:tbl>
      <w:tblPr>
        <w:tblStyle w:val="23"/>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14:paraId="65D9A5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14:paraId="62235991">
            <w:pPr>
              <w:pStyle w:val="50"/>
              <w:spacing w:line="360" w:lineRule="auto"/>
              <w:ind w:left="144"/>
              <w:jc w:val="center"/>
              <w:rPr>
                <w:rFonts w:cs="Times New Roman"/>
                <w:b/>
                <w:sz w:val="24"/>
                <w:szCs w:val="24"/>
              </w:rPr>
            </w:pPr>
            <w:r>
              <w:rPr>
                <w:rFonts w:cs="Times New Roman"/>
                <w:b/>
                <w:sz w:val="24"/>
                <w:szCs w:val="24"/>
              </w:rPr>
              <w:t>序号</w:t>
            </w:r>
          </w:p>
        </w:tc>
        <w:tc>
          <w:tcPr>
            <w:tcW w:w="1542" w:type="dxa"/>
            <w:vAlign w:val="center"/>
          </w:tcPr>
          <w:p w14:paraId="3359690E">
            <w:pPr>
              <w:pStyle w:val="50"/>
              <w:spacing w:line="360" w:lineRule="auto"/>
              <w:ind w:left="28"/>
              <w:jc w:val="center"/>
              <w:rPr>
                <w:rFonts w:cs="Times New Roman"/>
                <w:b/>
                <w:sz w:val="24"/>
                <w:szCs w:val="24"/>
              </w:rPr>
            </w:pPr>
            <w:r>
              <w:rPr>
                <w:rFonts w:hint="eastAsia" w:cs="Times New Roman"/>
                <w:b/>
                <w:sz w:val="24"/>
                <w:szCs w:val="24"/>
                <w:lang w:val="en-US"/>
              </w:rPr>
              <w:t>项目</w:t>
            </w:r>
            <w:r>
              <w:rPr>
                <w:rFonts w:hint="eastAsia" w:cs="Times New Roman"/>
                <w:b/>
                <w:sz w:val="24"/>
                <w:szCs w:val="24"/>
              </w:rPr>
              <w:t>名称</w:t>
            </w:r>
          </w:p>
        </w:tc>
        <w:tc>
          <w:tcPr>
            <w:tcW w:w="1467" w:type="dxa"/>
            <w:vAlign w:val="center"/>
          </w:tcPr>
          <w:p w14:paraId="6879D24F">
            <w:pPr>
              <w:pStyle w:val="50"/>
              <w:spacing w:line="360" w:lineRule="auto"/>
              <w:ind w:left="-2" w:leftChars="-1" w:firstLine="67" w:firstLineChars="28"/>
              <w:jc w:val="center"/>
              <w:rPr>
                <w:rFonts w:cs="Times New Roman"/>
                <w:b/>
                <w:sz w:val="24"/>
                <w:szCs w:val="24"/>
                <w:lang w:val="en-US"/>
              </w:rPr>
            </w:pPr>
            <w:r>
              <w:rPr>
                <w:rFonts w:hint="eastAsia" w:cs="Times New Roman"/>
                <w:b/>
                <w:sz w:val="24"/>
                <w:szCs w:val="24"/>
                <w:lang w:val="en-US"/>
              </w:rPr>
              <w:t>服务要求</w:t>
            </w:r>
          </w:p>
        </w:tc>
        <w:tc>
          <w:tcPr>
            <w:tcW w:w="1711" w:type="dxa"/>
            <w:vAlign w:val="center"/>
          </w:tcPr>
          <w:p w14:paraId="4F0D54A3">
            <w:pPr>
              <w:pStyle w:val="50"/>
              <w:spacing w:line="360" w:lineRule="auto"/>
              <w:ind w:left="146" w:right="115" w:hanging="22"/>
              <w:jc w:val="center"/>
              <w:rPr>
                <w:rFonts w:cs="Times New Roman"/>
                <w:b/>
                <w:sz w:val="24"/>
                <w:szCs w:val="24"/>
              </w:rPr>
            </w:pPr>
            <w:r>
              <w:rPr>
                <w:rFonts w:hint="eastAsia" w:cs="Times New Roman"/>
                <w:b/>
                <w:sz w:val="24"/>
                <w:szCs w:val="24"/>
                <w:lang w:val="en-US"/>
              </w:rPr>
              <w:t>服务</w:t>
            </w:r>
            <w:r>
              <w:rPr>
                <w:rFonts w:hint="eastAsia" w:cs="Times New Roman"/>
                <w:b/>
                <w:sz w:val="24"/>
                <w:szCs w:val="24"/>
              </w:rPr>
              <w:t>应答</w:t>
            </w:r>
          </w:p>
        </w:tc>
        <w:tc>
          <w:tcPr>
            <w:tcW w:w="1677" w:type="dxa"/>
            <w:vAlign w:val="center"/>
          </w:tcPr>
          <w:p w14:paraId="3C3A7AAE">
            <w:pPr>
              <w:pStyle w:val="50"/>
              <w:spacing w:before="102" w:line="360" w:lineRule="auto"/>
              <w:ind w:left="112" w:right="105"/>
              <w:jc w:val="center"/>
              <w:rPr>
                <w:rFonts w:cs="Times New Roman"/>
                <w:b/>
                <w:sz w:val="24"/>
                <w:szCs w:val="24"/>
              </w:rPr>
            </w:pPr>
            <w:r>
              <w:rPr>
                <w:rFonts w:cs="Times New Roman"/>
                <w:b/>
                <w:sz w:val="24"/>
                <w:szCs w:val="24"/>
              </w:rPr>
              <w:t>偏离情况</w:t>
            </w:r>
          </w:p>
          <w:p w14:paraId="342AAE1B">
            <w:pPr>
              <w:pStyle w:val="50"/>
              <w:spacing w:before="84" w:line="360" w:lineRule="auto"/>
              <w:ind w:left="114" w:right="105"/>
              <w:jc w:val="center"/>
              <w:rPr>
                <w:rFonts w:cs="Times New Roman"/>
                <w:b/>
                <w:sz w:val="24"/>
                <w:szCs w:val="24"/>
              </w:rPr>
            </w:pPr>
            <w:r>
              <w:rPr>
                <w:rFonts w:cs="Times New Roman"/>
                <w:b/>
                <w:sz w:val="24"/>
                <w:szCs w:val="24"/>
              </w:rPr>
              <w:t>（符合、正偏离或负偏离）</w:t>
            </w:r>
          </w:p>
        </w:tc>
        <w:tc>
          <w:tcPr>
            <w:tcW w:w="1590" w:type="dxa"/>
            <w:vAlign w:val="center"/>
          </w:tcPr>
          <w:p w14:paraId="3E1149D0">
            <w:pPr>
              <w:pStyle w:val="50"/>
              <w:spacing w:line="360" w:lineRule="auto"/>
              <w:ind w:left="95" w:right="85"/>
              <w:jc w:val="center"/>
              <w:rPr>
                <w:rFonts w:cs="Times New Roman"/>
                <w:b/>
                <w:sz w:val="24"/>
                <w:szCs w:val="24"/>
              </w:rPr>
            </w:pPr>
            <w:r>
              <w:rPr>
                <w:rFonts w:cs="Times New Roman"/>
                <w:b/>
                <w:sz w:val="24"/>
                <w:szCs w:val="24"/>
              </w:rPr>
              <w:t>偏离项（将偏离的内容填入此列）</w:t>
            </w:r>
          </w:p>
        </w:tc>
        <w:tc>
          <w:tcPr>
            <w:tcW w:w="855" w:type="dxa"/>
            <w:vAlign w:val="center"/>
          </w:tcPr>
          <w:p w14:paraId="6FE29261">
            <w:pPr>
              <w:pStyle w:val="50"/>
              <w:spacing w:line="360" w:lineRule="auto"/>
              <w:jc w:val="center"/>
              <w:rPr>
                <w:rFonts w:cs="Times New Roman"/>
                <w:b/>
                <w:sz w:val="24"/>
                <w:szCs w:val="24"/>
              </w:rPr>
            </w:pPr>
          </w:p>
          <w:p w14:paraId="0A2F94C0">
            <w:pPr>
              <w:pStyle w:val="50"/>
              <w:spacing w:line="360" w:lineRule="auto"/>
              <w:ind w:left="94" w:right="85"/>
              <w:jc w:val="center"/>
              <w:rPr>
                <w:rFonts w:cs="Times New Roman"/>
                <w:b/>
                <w:sz w:val="24"/>
                <w:szCs w:val="24"/>
              </w:rPr>
            </w:pPr>
            <w:r>
              <w:rPr>
                <w:rFonts w:cs="Times New Roman"/>
                <w:b/>
                <w:sz w:val="24"/>
                <w:szCs w:val="24"/>
              </w:rPr>
              <w:t>备注</w:t>
            </w:r>
          </w:p>
        </w:tc>
      </w:tr>
      <w:tr w14:paraId="5CA23A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37832DFF">
            <w:pPr>
              <w:pStyle w:val="50"/>
              <w:spacing w:line="360" w:lineRule="auto"/>
              <w:rPr>
                <w:rFonts w:ascii="仿宋" w:hAnsi="仿宋" w:eastAsia="仿宋" w:cs="Times New Roman"/>
              </w:rPr>
            </w:pPr>
          </w:p>
        </w:tc>
        <w:tc>
          <w:tcPr>
            <w:tcW w:w="1542" w:type="dxa"/>
            <w:vAlign w:val="center"/>
          </w:tcPr>
          <w:p w14:paraId="36E41FE9">
            <w:pPr>
              <w:pStyle w:val="50"/>
              <w:spacing w:line="360" w:lineRule="auto"/>
              <w:rPr>
                <w:rFonts w:ascii="仿宋" w:hAnsi="仿宋" w:eastAsia="仿宋" w:cs="Times New Roman"/>
              </w:rPr>
            </w:pPr>
          </w:p>
        </w:tc>
        <w:tc>
          <w:tcPr>
            <w:tcW w:w="1467" w:type="dxa"/>
            <w:vAlign w:val="center"/>
          </w:tcPr>
          <w:p w14:paraId="556B650E">
            <w:pPr>
              <w:pStyle w:val="50"/>
              <w:spacing w:line="360" w:lineRule="auto"/>
              <w:rPr>
                <w:rFonts w:ascii="仿宋" w:hAnsi="仿宋" w:eastAsia="仿宋" w:cs="Times New Roman"/>
              </w:rPr>
            </w:pPr>
          </w:p>
        </w:tc>
        <w:tc>
          <w:tcPr>
            <w:tcW w:w="1711" w:type="dxa"/>
            <w:vAlign w:val="center"/>
          </w:tcPr>
          <w:p w14:paraId="4330A1E8">
            <w:pPr>
              <w:pStyle w:val="50"/>
              <w:spacing w:line="360" w:lineRule="auto"/>
              <w:rPr>
                <w:rFonts w:ascii="仿宋" w:hAnsi="仿宋" w:eastAsia="仿宋" w:cs="Times New Roman"/>
              </w:rPr>
            </w:pPr>
          </w:p>
        </w:tc>
        <w:tc>
          <w:tcPr>
            <w:tcW w:w="1677" w:type="dxa"/>
            <w:vAlign w:val="center"/>
          </w:tcPr>
          <w:p w14:paraId="255624C1">
            <w:pPr>
              <w:pStyle w:val="50"/>
              <w:spacing w:line="360" w:lineRule="auto"/>
              <w:rPr>
                <w:rFonts w:ascii="仿宋" w:hAnsi="仿宋" w:eastAsia="仿宋" w:cs="Times New Roman"/>
              </w:rPr>
            </w:pPr>
          </w:p>
        </w:tc>
        <w:tc>
          <w:tcPr>
            <w:tcW w:w="1590" w:type="dxa"/>
            <w:vAlign w:val="center"/>
          </w:tcPr>
          <w:p w14:paraId="203CE356">
            <w:pPr>
              <w:pStyle w:val="50"/>
              <w:spacing w:line="360" w:lineRule="auto"/>
              <w:rPr>
                <w:rFonts w:ascii="仿宋" w:hAnsi="仿宋" w:eastAsia="仿宋" w:cs="Times New Roman"/>
              </w:rPr>
            </w:pPr>
          </w:p>
        </w:tc>
        <w:tc>
          <w:tcPr>
            <w:tcW w:w="855" w:type="dxa"/>
            <w:vAlign w:val="center"/>
          </w:tcPr>
          <w:p w14:paraId="63A673E5">
            <w:pPr>
              <w:pStyle w:val="50"/>
              <w:spacing w:line="360" w:lineRule="auto"/>
              <w:rPr>
                <w:rFonts w:ascii="仿宋" w:hAnsi="仿宋" w:eastAsia="仿宋" w:cs="Times New Roman"/>
              </w:rPr>
            </w:pPr>
          </w:p>
        </w:tc>
      </w:tr>
      <w:tr w14:paraId="1F88FD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703B1A64">
            <w:pPr>
              <w:pStyle w:val="50"/>
              <w:spacing w:line="360" w:lineRule="auto"/>
              <w:rPr>
                <w:rFonts w:ascii="仿宋" w:hAnsi="仿宋" w:eastAsia="仿宋" w:cs="Times New Roman"/>
              </w:rPr>
            </w:pPr>
          </w:p>
        </w:tc>
        <w:tc>
          <w:tcPr>
            <w:tcW w:w="1542" w:type="dxa"/>
            <w:vAlign w:val="center"/>
          </w:tcPr>
          <w:p w14:paraId="78CEF291">
            <w:pPr>
              <w:pStyle w:val="50"/>
              <w:spacing w:line="360" w:lineRule="auto"/>
              <w:rPr>
                <w:rFonts w:ascii="仿宋" w:hAnsi="仿宋" w:eastAsia="仿宋" w:cs="Times New Roman"/>
              </w:rPr>
            </w:pPr>
          </w:p>
        </w:tc>
        <w:tc>
          <w:tcPr>
            <w:tcW w:w="1467" w:type="dxa"/>
            <w:vAlign w:val="center"/>
          </w:tcPr>
          <w:p w14:paraId="46777B7B">
            <w:pPr>
              <w:pStyle w:val="50"/>
              <w:spacing w:line="360" w:lineRule="auto"/>
              <w:rPr>
                <w:rFonts w:ascii="仿宋" w:hAnsi="仿宋" w:eastAsia="仿宋" w:cs="Times New Roman"/>
              </w:rPr>
            </w:pPr>
          </w:p>
        </w:tc>
        <w:tc>
          <w:tcPr>
            <w:tcW w:w="1711" w:type="dxa"/>
            <w:vAlign w:val="center"/>
          </w:tcPr>
          <w:p w14:paraId="267CE2DE">
            <w:pPr>
              <w:pStyle w:val="50"/>
              <w:spacing w:line="360" w:lineRule="auto"/>
              <w:rPr>
                <w:rFonts w:ascii="仿宋" w:hAnsi="仿宋" w:eastAsia="仿宋" w:cs="Times New Roman"/>
              </w:rPr>
            </w:pPr>
          </w:p>
        </w:tc>
        <w:tc>
          <w:tcPr>
            <w:tcW w:w="1677" w:type="dxa"/>
            <w:vAlign w:val="center"/>
          </w:tcPr>
          <w:p w14:paraId="14B39F1A">
            <w:pPr>
              <w:pStyle w:val="50"/>
              <w:spacing w:line="360" w:lineRule="auto"/>
              <w:rPr>
                <w:rFonts w:ascii="仿宋" w:hAnsi="仿宋" w:eastAsia="仿宋" w:cs="Times New Roman"/>
              </w:rPr>
            </w:pPr>
          </w:p>
        </w:tc>
        <w:tc>
          <w:tcPr>
            <w:tcW w:w="1590" w:type="dxa"/>
            <w:vAlign w:val="center"/>
          </w:tcPr>
          <w:p w14:paraId="74939D0C">
            <w:pPr>
              <w:pStyle w:val="50"/>
              <w:spacing w:line="360" w:lineRule="auto"/>
              <w:rPr>
                <w:rFonts w:ascii="仿宋" w:hAnsi="仿宋" w:eastAsia="仿宋" w:cs="Times New Roman"/>
              </w:rPr>
            </w:pPr>
          </w:p>
        </w:tc>
        <w:tc>
          <w:tcPr>
            <w:tcW w:w="855" w:type="dxa"/>
            <w:vAlign w:val="center"/>
          </w:tcPr>
          <w:p w14:paraId="31E1AB4D">
            <w:pPr>
              <w:pStyle w:val="50"/>
              <w:spacing w:line="360" w:lineRule="auto"/>
              <w:rPr>
                <w:rFonts w:ascii="仿宋" w:hAnsi="仿宋" w:eastAsia="仿宋" w:cs="Times New Roman"/>
              </w:rPr>
            </w:pPr>
          </w:p>
        </w:tc>
      </w:tr>
      <w:tr w14:paraId="4B9653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05F1BA58">
            <w:pPr>
              <w:pStyle w:val="50"/>
              <w:spacing w:line="360" w:lineRule="auto"/>
              <w:rPr>
                <w:rFonts w:ascii="仿宋" w:hAnsi="仿宋" w:eastAsia="仿宋" w:cs="Times New Roman"/>
              </w:rPr>
            </w:pPr>
          </w:p>
        </w:tc>
        <w:tc>
          <w:tcPr>
            <w:tcW w:w="1542" w:type="dxa"/>
            <w:vAlign w:val="center"/>
          </w:tcPr>
          <w:p w14:paraId="66BAE956">
            <w:pPr>
              <w:pStyle w:val="50"/>
              <w:spacing w:line="360" w:lineRule="auto"/>
              <w:rPr>
                <w:rFonts w:ascii="仿宋" w:hAnsi="仿宋" w:eastAsia="仿宋" w:cs="Times New Roman"/>
              </w:rPr>
            </w:pPr>
          </w:p>
        </w:tc>
        <w:tc>
          <w:tcPr>
            <w:tcW w:w="1467" w:type="dxa"/>
            <w:vAlign w:val="center"/>
          </w:tcPr>
          <w:p w14:paraId="3D8632F6">
            <w:pPr>
              <w:pStyle w:val="50"/>
              <w:spacing w:line="360" w:lineRule="auto"/>
              <w:rPr>
                <w:rFonts w:ascii="仿宋" w:hAnsi="仿宋" w:eastAsia="仿宋" w:cs="Times New Roman"/>
              </w:rPr>
            </w:pPr>
          </w:p>
        </w:tc>
        <w:tc>
          <w:tcPr>
            <w:tcW w:w="1711" w:type="dxa"/>
            <w:vAlign w:val="center"/>
          </w:tcPr>
          <w:p w14:paraId="5E8F1D47">
            <w:pPr>
              <w:pStyle w:val="50"/>
              <w:spacing w:line="360" w:lineRule="auto"/>
              <w:rPr>
                <w:rFonts w:ascii="仿宋" w:hAnsi="仿宋" w:eastAsia="仿宋" w:cs="Times New Roman"/>
              </w:rPr>
            </w:pPr>
          </w:p>
        </w:tc>
        <w:tc>
          <w:tcPr>
            <w:tcW w:w="1677" w:type="dxa"/>
            <w:vAlign w:val="center"/>
          </w:tcPr>
          <w:p w14:paraId="40309072">
            <w:pPr>
              <w:pStyle w:val="50"/>
              <w:spacing w:line="360" w:lineRule="auto"/>
              <w:rPr>
                <w:rFonts w:ascii="仿宋" w:hAnsi="仿宋" w:eastAsia="仿宋" w:cs="Times New Roman"/>
              </w:rPr>
            </w:pPr>
          </w:p>
        </w:tc>
        <w:tc>
          <w:tcPr>
            <w:tcW w:w="1590" w:type="dxa"/>
            <w:vAlign w:val="center"/>
          </w:tcPr>
          <w:p w14:paraId="1CA662E3">
            <w:pPr>
              <w:pStyle w:val="50"/>
              <w:spacing w:line="360" w:lineRule="auto"/>
              <w:rPr>
                <w:rFonts w:ascii="仿宋" w:hAnsi="仿宋" w:eastAsia="仿宋" w:cs="Times New Roman"/>
              </w:rPr>
            </w:pPr>
          </w:p>
        </w:tc>
        <w:tc>
          <w:tcPr>
            <w:tcW w:w="855" w:type="dxa"/>
            <w:vAlign w:val="center"/>
          </w:tcPr>
          <w:p w14:paraId="6ABFD73E">
            <w:pPr>
              <w:pStyle w:val="50"/>
              <w:spacing w:line="360" w:lineRule="auto"/>
              <w:rPr>
                <w:rFonts w:ascii="仿宋" w:hAnsi="仿宋" w:eastAsia="仿宋" w:cs="Times New Roman"/>
              </w:rPr>
            </w:pPr>
          </w:p>
        </w:tc>
      </w:tr>
      <w:tr w14:paraId="59E4B0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7DCE83BF">
            <w:pPr>
              <w:pStyle w:val="50"/>
              <w:spacing w:line="360" w:lineRule="auto"/>
              <w:rPr>
                <w:rFonts w:ascii="仿宋" w:hAnsi="仿宋" w:eastAsia="仿宋" w:cs="Times New Roman"/>
              </w:rPr>
            </w:pPr>
          </w:p>
        </w:tc>
        <w:tc>
          <w:tcPr>
            <w:tcW w:w="1542" w:type="dxa"/>
            <w:vAlign w:val="center"/>
          </w:tcPr>
          <w:p w14:paraId="09F99F7E">
            <w:pPr>
              <w:pStyle w:val="50"/>
              <w:spacing w:line="360" w:lineRule="auto"/>
              <w:rPr>
                <w:rFonts w:ascii="仿宋" w:hAnsi="仿宋" w:eastAsia="仿宋" w:cs="Times New Roman"/>
              </w:rPr>
            </w:pPr>
          </w:p>
        </w:tc>
        <w:tc>
          <w:tcPr>
            <w:tcW w:w="1467" w:type="dxa"/>
            <w:vAlign w:val="center"/>
          </w:tcPr>
          <w:p w14:paraId="0FF2FF7C">
            <w:pPr>
              <w:pStyle w:val="50"/>
              <w:spacing w:line="360" w:lineRule="auto"/>
              <w:rPr>
                <w:rFonts w:ascii="仿宋" w:hAnsi="仿宋" w:eastAsia="仿宋" w:cs="Times New Roman"/>
              </w:rPr>
            </w:pPr>
          </w:p>
        </w:tc>
        <w:tc>
          <w:tcPr>
            <w:tcW w:w="1711" w:type="dxa"/>
            <w:vAlign w:val="center"/>
          </w:tcPr>
          <w:p w14:paraId="1039117E">
            <w:pPr>
              <w:pStyle w:val="50"/>
              <w:spacing w:line="360" w:lineRule="auto"/>
              <w:rPr>
                <w:rFonts w:ascii="仿宋" w:hAnsi="仿宋" w:eastAsia="仿宋" w:cs="Times New Roman"/>
              </w:rPr>
            </w:pPr>
          </w:p>
        </w:tc>
        <w:tc>
          <w:tcPr>
            <w:tcW w:w="1677" w:type="dxa"/>
            <w:vAlign w:val="center"/>
          </w:tcPr>
          <w:p w14:paraId="6D4A6100">
            <w:pPr>
              <w:pStyle w:val="50"/>
              <w:spacing w:line="360" w:lineRule="auto"/>
              <w:rPr>
                <w:rFonts w:ascii="仿宋" w:hAnsi="仿宋" w:eastAsia="仿宋" w:cs="Times New Roman"/>
              </w:rPr>
            </w:pPr>
          </w:p>
        </w:tc>
        <w:tc>
          <w:tcPr>
            <w:tcW w:w="1590" w:type="dxa"/>
            <w:vAlign w:val="center"/>
          </w:tcPr>
          <w:p w14:paraId="29E071A0">
            <w:pPr>
              <w:pStyle w:val="50"/>
              <w:spacing w:line="360" w:lineRule="auto"/>
              <w:rPr>
                <w:rFonts w:ascii="仿宋" w:hAnsi="仿宋" w:eastAsia="仿宋" w:cs="Times New Roman"/>
              </w:rPr>
            </w:pPr>
          </w:p>
        </w:tc>
        <w:tc>
          <w:tcPr>
            <w:tcW w:w="855" w:type="dxa"/>
            <w:vAlign w:val="center"/>
          </w:tcPr>
          <w:p w14:paraId="4706E1CE">
            <w:pPr>
              <w:pStyle w:val="50"/>
              <w:spacing w:line="360" w:lineRule="auto"/>
              <w:rPr>
                <w:rFonts w:ascii="仿宋" w:hAnsi="仿宋" w:eastAsia="仿宋" w:cs="Times New Roman"/>
              </w:rPr>
            </w:pPr>
          </w:p>
        </w:tc>
      </w:tr>
      <w:tr w14:paraId="1D750E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14:paraId="596189F6">
            <w:pPr>
              <w:pStyle w:val="50"/>
              <w:spacing w:line="360" w:lineRule="auto"/>
              <w:rPr>
                <w:rFonts w:ascii="仿宋" w:hAnsi="仿宋" w:eastAsia="仿宋" w:cs="Times New Roman"/>
              </w:rPr>
            </w:pPr>
          </w:p>
        </w:tc>
        <w:tc>
          <w:tcPr>
            <w:tcW w:w="1542" w:type="dxa"/>
            <w:vAlign w:val="center"/>
          </w:tcPr>
          <w:p w14:paraId="44077627">
            <w:pPr>
              <w:pStyle w:val="50"/>
              <w:spacing w:line="360" w:lineRule="auto"/>
              <w:rPr>
                <w:rFonts w:ascii="仿宋" w:hAnsi="仿宋" w:eastAsia="仿宋" w:cs="Times New Roman"/>
              </w:rPr>
            </w:pPr>
          </w:p>
        </w:tc>
        <w:tc>
          <w:tcPr>
            <w:tcW w:w="1467" w:type="dxa"/>
            <w:vAlign w:val="center"/>
          </w:tcPr>
          <w:p w14:paraId="5AEDE5D9">
            <w:pPr>
              <w:pStyle w:val="50"/>
              <w:spacing w:line="360" w:lineRule="auto"/>
              <w:rPr>
                <w:rFonts w:ascii="仿宋" w:hAnsi="仿宋" w:eastAsia="仿宋" w:cs="Times New Roman"/>
              </w:rPr>
            </w:pPr>
          </w:p>
        </w:tc>
        <w:tc>
          <w:tcPr>
            <w:tcW w:w="1711" w:type="dxa"/>
            <w:vAlign w:val="center"/>
          </w:tcPr>
          <w:p w14:paraId="747E2912">
            <w:pPr>
              <w:pStyle w:val="50"/>
              <w:spacing w:line="360" w:lineRule="auto"/>
              <w:rPr>
                <w:rFonts w:ascii="仿宋" w:hAnsi="仿宋" w:eastAsia="仿宋" w:cs="Times New Roman"/>
              </w:rPr>
            </w:pPr>
          </w:p>
        </w:tc>
        <w:tc>
          <w:tcPr>
            <w:tcW w:w="1677" w:type="dxa"/>
            <w:vAlign w:val="center"/>
          </w:tcPr>
          <w:p w14:paraId="7B53AC48">
            <w:pPr>
              <w:pStyle w:val="50"/>
              <w:spacing w:line="360" w:lineRule="auto"/>
              <w:rPr>
                <w:rFonts w:ascii="仿宋" w:hAnsi="仿宋" w:eastAsia="仿宋" w:cs="Times New Roman"/>
              </w:rPr>
            </w:pPr>
          </w:p>
        </w:tc>
        <w:tc>
          <w:tcPr>
            <w:tcW w:w="1590" w:type="dxa"/>
            <w:vAlign w:val="center"/>
          </w:tcPr>
          <w:p w14:paraId="6C4406F1">
            <w:pPr>
              <w:pStyle w:val="50"/>
              <w:spacing w:line="360" w:lineRule="auto"/>
              <w:rPr>
                <w:rFonts w:ascii="仿宋" w:hAnsi="仿宋" w:eastAsia="仿宋" w:cs="Times New Roman"/>
              </w:rPr>
            </w:pPr>
          </w:p>
        </w:tc>
        <w:tc>
          <w:tcPr>
            <w:tcW w:w="855" w:type="dxa"/>
            <w:vAlign w:val="center"/>
          </w:tcPr>
          <w:p w14:paraId="63B5A759">
            <w:pPr>
              <w:pStyle w:val="50"/>
              <w:spacing w:line="360" w:lineRule="auto"/>
              <w:rPr>
                <w:rFonts w:ascii="仿宋" w:hAnsi="仿宋" w:eastAsia="仿宋" w:cs="Times New Roman"/>
              </w:rPr>
            </w:pPr>
          </w:p>
        </w:tc>
      </w:tr>
    </w:tbl>
    <w:p w14:paraId="1563D343"/>
    <w:p w14:paraId="36FD623C">
      <w:pPr>
        <w:spacing w:line="360" w:lineRule="auto"/>
        <w:ind w:left="993" w:right="283" w:hanging="709"/>
        <w:rPr>
          <w:rFonts w:ascii="宋体" w:hAnsi="宋体"/>
          <w:sz w:val="28"/>
          <w:szCs w:val="28"/>
        </w:rPr>
      </w:pPr>
      <w:r>
        <w:rPr>
          <w:rFonts w:ascii="宋体" w:hAnsi="宋体"/>
          <w:sz w:val="28"/>
          <w:szCs w:val="28"/>
        </w:rPr>
        <w:t>注：1.供应商须按照采购项目</w:t>
      </w:r>
      <w:r>
        <w:rPr>
          <w:rFonts w:hint="eastAsia" w:ascii="宋体" w:hAnsi="宋体"/>
          <w:sz w:val="28"/>
          <w:szCs w:val="28"/>
        </w:rPr>
        <w:t>服务内容及服务</w:t>
      </w:r>
      <w:r>
        <w:rPr>
          <w:rFonts w:ascii="宋体" w:hAnsi="宋体"/>
          <w:sz w:val="28"/>
          <w:szCs w:val="28"/>
        </w:rPr>
        <w:t>要求</w:t>
      </w:r>
      <w:r>
        <w:rPr>
          <w:rFonts w:hint="eastAsia" w:ascii="宋体" w:hAnsi="宋体"/>
          <w:sz w:val="28"/>
          <w:szCs w:val="28"/>
        </w:rPr>
        <w:t>逐条</w:t>
      </w:r>
      <w:r>
        <w:rPr>
          <w:rFonts w:ascii="宋体" w:hAnsi="宋体"/>
          <w:sz w:val="28"/>
          <w:szCs w:val="28"/>
        </w:rPr>
        <w:t>响应，</w:t>
      </w:r>
      <w:r>
        <w:rPr>
          <w:rFonts w:hint="eastAsia" w:ascii="宋体" w:hAnsi="宋体"/>
          <w:sz w:val="28"/>
          <w:szCs w:val="28"/>
        </w:rPr>
        <w:t>注明正负偏离</w:t>
      </w:r>
      <w:r>
        <w:rPr>
          <w:rFonts w:ascii="宋体" w:hAnsi="宋体"/>
          <w:sz w:val="28"/>
          <w:szCs w:val="28"/>
        </w:rPr>
        <w:t>。</w:t>
      </w:r>
    </w:p>
    <w:p w14:paraId="504EC63C">
      <w:pPr>
        <w:pStyle w:val="39"/>
        <w:tabs>
          <w:tab w:val="left" w:pos="1839"/>
        </w:tabs>
        <w:spacing w:before="2" w:line="360" w:lineRule="auto"/>
        <w:ind w:left="1141" w:leftChars="386" w:right="283" w:hanging="330" w:hangingChars="118"/>
        <w:rPr>
          <w:rFonts w:ascii="宋体" w:hAnsi="宋体"/>
          <w:sz w:val="28"/>
          <w:szCs w:val="28"/>
        </w:rPr>
      </w:pPr>
      <w:r>
        <w:rPr>
          <w:rFonts w:ascii="宋体" w:hAnsi="宋体"/>
          <w:sz w:val="28"/>
          <w:szCs w:val="28"/>
        </w:rPr>
        <w:t>2.供应商必须据实填写，不得虚假响应，否则将取消其响应或成交资格，并按照相关法律法规进行处理。</w:t>
      </w:r>
    </w:p>
    <w:p w14:paraId="5AD8F2A1">
      <w:pPr>
        <w:tabs>
          <w:tab w:val="left" w:pos="1721"/>
        </w:tabs>
        <w:spacing w:line="360" w:lineRule="auto"/>
        <w:ind w:left="1148" w:leftChars="386" w:right="283" w:hanging="337" w:hangingChars="118"/>
        <w:rPr>
          <w:rFonts w:ascii="宋体" w:hAnsi="宋体"/>
          <w:spacing w:val="3"/>
          <w:sz w:val="28"/>
          <w:szCs w:val="28"/>
        </w:rPr>
      </w:pPr>
      <w:r>
        <w:rPr>
          <w:rFonts w:ascii="宋体" w:hAnsi="宋体"/>
          <w:spacing w:val="3"/>
          <w:sz w:val="28"/>
          <w:szCs w:val="28"/>
        </w:rPr>
        <w:t>3.</w:t>
      </w:r>
      <w:r>
        <w:rPr>
          <w:rFonts w:hint="eastAsia" w:ascii="宋体" w:hAnsi="宋体"/>
          <w:spacing w:val="3"/>
          <w:sz w:val="28"/>
          <w:szCs w:val="28"/>
        </w:rPr>
        <w:t>比选</w:t>
      </w:r>
      <w:r>
        <w:rPr>
          <w:rFonts w:ascii="宋体" w:hAnsi="宋体"/>
          <w:spacing w:val="3"/>
          <w:sz w:val="28"/>
          <w:szCs w:val="28"/>
        </w:rPr>
        <w:t>文件中要求提供</w:t>
      </w:r>
      <w:r>
        <w:rPr>
          <w:rFonts w:hint="eastAsia" w:ascii="宋体" w:hAnsi="宋体"/>
          <w:spacing w:val="3"/>
          <w:sz w:val="28"/>
          <w:szCs w:val="28"/>
        </w:rPr>
        <w:t>佐证资料</w:t>
      </w:r>
      <w:r>
        <w:rPr>
          <w:rFonts w:ascii="宋体" w:hAnsi="宋体"/>
          <w:spacing w:val="3"/>
          <w:sz w:val="28"/>
          <w:szCs w:val="28"/>
        </w:rPr>
        <w:t>的应注明该</w:t>
      </w:r>
      <w:r>
        <w:rPr>
          <w:rFonts w:hint="eastAsia" w:ascii="宋体" w:hAnsi="宋体"/>
          <w:spacing w:val="3"/>
          <w:sz w:val="28"/>
          <w:szCs w:val="28"/>
        </w:rPr>
        <w:t>证明材料</w:t>
      </w:r>
      <w:r>
        <w:rPr>
          <w:rFonts w:ascii="宋体" w:hAnsi="宋体"/>
          <w:spacing w:val="3"/>
          <w:sz w:val="28"/>
          <w:szCs w:val="28"/>
        </w:rPr>
        <w:t>在</w:t>
      </w:r>
      <w:r>
        <w:rPr>
          <w:rFonts w:hint="eastAsia" w:ascii="宋体" w:hAnsi="宋体"/>
          <w:spacing w:val="3"/>
          <w:sz w:val="28"/>
          <w:szCs w:val="28"/>
        </w:rPr>
        <w:t>比选申请</w:t>
      </w:r>
      <w:r>
        <w:rPr>
          <w:rFonts w:ascii="宋体" w:hAnsi="宋体"/>
          <w:spacing w:val="3"/>
          <w:sz w:val="28"/>
          <w:szCs w:val="28"/>
        </w:rPr>
        <w:t>文件中的页码。</w:t>
      </w:r>
    </w:p>
    <w:p w14:paraId="09F0C09A">
      <w:pPr>
        <w:spacing w:line="360" w:lineRule="auto"/>
        <w:rPr>
          <w:rFonts w:ascii="Times New Roman" w:hAnsi="Times New Roman" w:eastAsia="仿宋"/>
          <w:color w:val="000000" w:themeColor="text1"/>
          <w:sz w:val="32"/>
          <w:szCs w:val="32"/>
          <w14:textFill>
            <w14:solidFill>
              <w14:schemeClr w14:val="tx1"/>
            </w14:solidFill>
          </w14:textFill>
        </w:rPr>
      </w:pPr>
    </w:p>
    <w:p w14:paraId="3CFF5120">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（盖单位</w:t>
      </w:r>
      <w:r>
        <w:rPr>
          <w:rFonts w:hint="eastAsia" w:ascii="宋体" w:hAnsi="宋体"/>
          <w:color w:val="000000" w:themeColor="text1"/>
          <w:sz w:val="28"/>
          <w:szCs w:val="28"/>
          <w14:textFill>
            <w14:solidFill>
              <w14:schemeClr w14:val="tx1"/>
            </w14:solidFill>
          </w14:textFill>
        </w:rPr>
        <w:t>公</w:t>
      </w:r>
      <w:r>
        <w:rPr>
          <w:rFonts w:ascii="宋体" w:hAnsi="宋体"/>
          <w:color w:val="000000" w:themeColor="text1"/>
          <w:sz w:val="28"/>
          <w:szCs w:val="28"/>
          <w14:textFill>
            <w14:solidFill>
              <w14:schemeClr w14:val="tx1"/>
            </w14:solidFill>
          </w14:textFill>
        </w:rPr>
        <w:t>章）</w:t>
      </w:r>
    </w:p>
    <w:p w14:paraId="6BB8878A">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335A2A6D">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0F83D94D">
      <w:r>
        <w:rPr>
          <w:rFonts w:hint="eastAsia"/>
        </w:rPr>
        <w:br w:type="page"/>
      </w:r>
    </w:p>
    <w:p w14:paraId="49AF632E">
      <w:pPr>
        <w:pStyle w:val="3"/>
      </w:pPr>
      <w:bookmarkStart w:id="128" w:name="_Toc9117"/>
      <w:bookmarkStart w:id="129" w:name="_Toc9005"/>
      <w:bookmarkStart w:id="130" w:name="_Toc21669"/>
      <w:r>
        <w:rPr>
          <w:rFonts w:hint="eastAsia"/>
        </w:rPr>
        <w:t>十、商务应答表</w:t>
      </w:r>
      <w:bookmarkEnd w:id="128"/>
      <w:bookmarkEnd w:id="129"/>
      <w:bookmarkEnd w:id="130"/>
    </w:p>
    <w:p w14:paraId="6367A1CF">
      <w:pPr>
        <w:spacing w:line="360" w:lineRule="auto"/>
        <w:rPr>
          <w:rFonts w:ascii="Times New Roman" w:hAnsi="Times New Roman" w:eastAsia="仿宋"/>
          <w:color w:val="000000" w:themeColor="text1"/>
          <w:sz w:val="32"/>
          <w:szCs w:val="32"/>
          <w14:textFill>
            <w14:solidFill>
              <w14:schemeClr w14:val="tx1"/>
            </w14:solidFill>
          </w14:textFill>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14:paraId="3AFA5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14:paraId="53BDC76D">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序号</w:t>
            </w:r>
          </w:p>
        </w:tc>
        <w:tc>
          <w:tcPr>
            <w:tcW w:w="2409" w:type="dxa"/>
            <w:vAlign w:val="center"/>
          </w:tcPr>
          <w:p w14:paraId="018A32C4">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商务要求</w:t>
            </w:r>
          </w:p>
        </w:tc>
        <w:tc>
          <w:tcPr>
            <w:tcW w:w="2594" w:type="dxa"/>
            <w:vAlign w:val="center"/>
          </w:tcPr>
          <w:p w14:paraId="6BC44B10">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商务应答</w:t>
            </w:r>
          </w:p>
        </w:tc>
        <w:tc>
          <w:tcPr>
            <w:tcW w:w="2186" w:type="dxa"/>
            <w:vAlign w:val="center"/>
          </w:tcPr>
          <w:p w14:paraId="7ACF50BC">
            <w:pPr>
              <w:pStyle w:val="50"/>
              <w:spacing w:before="102" w:line="360" w:lineRule="auto"/>
              <w:ind w:left="112" w:right="105"/>
              <w:jc w:val="center"/>
              <w:rPr>
                <w:rFonts w:cs="Times New Roman"/>
                <w:b/>
                <w:sz w:val="24"/>
                <w:szCs w:val="24"/>
              </w:rPr>
            </w:pPr>
            <w:r>
              <w:rPr>
                <w:rFonts w:cs="Times New Roman"/>
                <w:b/>
                <w:sz w:val="24"/>
                <w:szCs w:val="24"/>
              </w:rPr>
              <w:t>偏离情况</w:t>
            </w:r>
          </w:p>
          <w:p w14:paraId="1E2775A9">
            <w:pPr>
              <w:spacing w:line="360" w:lineRule="auto"/>
              <w:jc w:val="center"/>
              <w:rPr>
                <w:rFonts w:ascii="宋体" w:hAnsi="宋体"/>
                <w:b/>
                <w:color w:val="000000" w:themeColor="text1"/>
                <w:sz w:val="24"/>
                <w14:textFill>
                  <w14:solidFill>
                    <w14:schemeClr w14:val="tx1"/>
                  </w14:solidFill>
                </w14:textFill>
              </w:rPr>
            </w:pPr>
            <w:r>
              <w:rPr>
                <w:rFonts w:ascii="宋体" w:hAnsi="宋体"/>
                <w:b/>
                <w:sz w:val="24"/>
              </w:rPr>
              <w:t>（符合、正偏离或负偏离）</w:t>
            </w:r>
          </w:p>
        </w:tc>
      </w:tr>
      <w:tr w14:paraId="59E78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314ED8B7">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14:paraId="6F44B7E9">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14:paraId="4F5A6EA5">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14:paraId="387C4168">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3AD6A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251322BF">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14:paraId="238719D2">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14:paraId="62D6C6F0">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14:paraId="69E58BFE">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5D90F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4DAC3E05">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14:paraId="29F04F0C">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14:paraId="2924C33F">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14:paraId="7E90214C">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2D05E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0BD80E83">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14:paraId="7CCFB3E6">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14:paraId="23840B50">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14:paraId="7C82C80B">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bl>
    <w:p w14:paraId="0BD7D011">
      <w:pPr>
        <w:spacing w:line="360" w:lineRule="auto"/>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注：供应商必须据实填写，不得虚假响应，否则将取消其比选或成交资格。</w:t>
      </w:r>
    </w:p>
    <w:p w14:paraId="4D670114">
      <w:pPr>
        <w:spacing w:line="360" w:lineRule="auto"/>
        <w:rPr>
          <w:rFonts w:ascii="宋体" w:hAnsi="宋体"/>
          <w:color w:val="000000" w:themeColor="text1"/>
          <w:sz w:val="28"/>
          <w:szCs w:val="28"/>
          <w14:textFill>
            <w14:solidFill>
              <w14:schemeClr w14:val="tx1"/>
            </w14:solidFill>
          </w14:textFill>
        </w:rPr>
      </w:pPr>
    </w:p>
    <w:p w14:paraId="7915FA02">
      <w:pPr>
        <w:spacing w:line="360" w:lineRule="auto"/>
        <w:rPr>
          <w:rFonts w:ascii="宋体" w:hAnsi="宋体"/>
          <w:color w:val="000000" w:themeColor="text1"/>
          <w:sz w:val="28"/>
          <w:szCs w:val="28"/>
          <w14:textFill>
            <w14:solidFill>
              <w14:schemeClr w14:val="tx1"/>
            </w14:solidFill>
          </w14:textFill>
        </w:rPr>
      </w:pPr>
    </w:p>
    <w:p w14:paraId="6AFBB17B">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24E050DE">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7FB9B0BE">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3BFAE87D">
      <w:pPr>
        <w:widowControl/>
        <w:jc w:val="left"/>
        <w:rPr>
          <w:rFonts w:ascii="Times New Roman" w:hAnsi="Times New Roman"/>
          <w:b/>
          <w:bCs/>
          <w:color w:val="000000" w:themeColor="text1"/>
          <w:sz w:val="36"/>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br w:type="page"/>
      </w:r>
    </w:p>
    <w:p w14:paraId="1E9FEBFC">
      <w:pPr>
        <w:pStyle w:val="3"/>
        <w:rPr>
          <w:rFonts w:hint="default" w:eastAsiaTheme="majorEastAsia"/>
          <w:lang w:val="en-US" w:eastAsia="zh-CN"/>
        </w:rPr>
      </w:pPr>
      <w:bookmarkStart w:id="131" w:name="_Toc3286"/>
      <w:bookmarkStart w:id="132" w:name="_Toc10403"/>
      <w:r>
        <w:rPr>
          <w:rFonts w:hint="eastAsia"/>
        </w:rPr>
        <w:t>十</w:t>
      </w:r>
      <w:r>
        <w:rPr>
          <w:rFonts w:hint="eastAsia"/>
          <w:lang w:val="en-US" w:eastAsia="zh-CN"/>
        </w:rPr>
        <w:t>一</w:t>
      </w:r>
      <w:r>
        <w:rPr>
          <w:rFonts w:hint="eastAsia"/>
        </w:rPr>
        <w:t>、</w:t>
      </w:r>
      <w:r>
        <w:rPr>
          <w:rFonts w:hint="eastAsia"/>
          <w:lang w:val="en-US" w:eastAsia="zh-CN"/>
        </w:rPr>
        <w:t>本项目服务团队人员一览表</w:t>
      </w:r>
      <w:bookmarkEnd w:id="131"/>
      <w:bookmarkEnd w:id="132"/>
    </w:p>
    <w:p w14:paraId="4B39FAAC">
      <w:pPr>
        <w:spacing w:line="360" w:lineRule="auto"/>
        <w:rPr>
          <w:rFonts w:ascii="Times New Roman" w:hAnsi="Times New Roman" w:eastAsia="仿宋"/>
          <w:color w:val="000000" w:themeColor="text1"/>
          <w:sz w:val="32"/>
          <w:szCs w:val="32"/>
          <w14:textFill>
            <w14:solidFill>
              <w14:schemeClr w14:val="tx1"/>
            </w14:solidFill>
          </w14:textFill>
        </w:rPr>
      </w:pPr>
    </w:p>
    <w:tbl>
      <w:tblPr>
        <w:tblStyle w:val="24"/>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
        <w:gridCol w:w="1647"/>
        <w:gridCol w:w="1773"/>
        <w:gridCol w:w="1495"/>
        <w:gridCol w:w="1495"/>
        <w:gridCol w:w="1495"/>
      </w:tblGrid>
      <w:tr w14:paraId="0346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063" w:type="dxa"/>
            <w:vAlign w:val="center"/>
          </w:tcPr>
          <w:p w14:paraId="0ACB6A31">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序号</w:t>
            </w:r>
          </w:p>
        </w:tc>
        <w:tc>
          <w:tcPr>
            <w:tcW w:w="1647" w:type="dxa"/>
            <w:vAlign w:val="center"/>
          </w:tcPr>
          <w:p w14:paraId="774DB6DB">
            <w:pPr>
              <w:spacing w:line="360" w:lineRule="auto"/>
              <w:jc w:val="center"/>
              <w:rPr>
                <w:rFonts w:hint="eastAsia" w:ascii="宋体" w:hAnsi="宋体" w:eastAsia="宋体"/>
                <w:b/>
                <w:color w:val="000000" w:themeColor="text1"/>
                <w:sz w:val="24"/>
                <w:lang w:eastAsia="zh-CN"/>
                <w14:textFill>
                  <w14:solidFill>
                    <w14:schemeClr w14:val="tx1"/>
                  </w14:solidFill>
                </w14:textFill>
              </w:rPr>
            </w:pPr>
            <w:r>
              <w:rPr>
                <w:rFonts w:hint="eastAsia" w:ascii="宋体" w:hAnsi="宋体"/>
                <w:b/>
                <w:color w:val="000000" w:themeColor="text1"/>
                <w:sz w:val="24"/>
                <w:lang w:val="en-US" w:eastAsia="zh-CN"/>
                <w14:textFill>
                  <w14:solidFill>
                    <w14:schemeClr w14:val="tx1"/>
                  </w14:solidFill>
                </w14:textFill>
              </w:rPr>
              <w:t>姓名</w:t>
            </w:r>
          </w:p>
        </w:tc>
        <w:tc>
          <w:tcPr>
            <w:tcW w:w="1773" w:type="dxa"/>
            <w:vAlign w:val="center"/>
          </w:tcPr>
          <w:p w14:paraId="10302068">
            <w:pPr>
              <w:spacing w:line="360" w:lineRule="auto"/>
              <w:jc w:val="center"/>
              <w:rPr>
                <w:rFonts w:hint="eastAsia" w:ascii="宋体" w:hAnsi="宋体" w:eastAsia="宋体"/>
                <w:b/>
                <w:color w:val="000000" w:themeColor="text1"/>
                <w:sz w:val="24"/>
                <w:lang w:eastAsia="zh-CN"/>
                <w14:textFill>
                  <w14:solidFill>
                    <w14:schemeClr w14:val="tx1"/>
                  </w14:solidFill>
                </w14:textFill>
              </w:rPr>
            </w:pPr>
            <w:r>
              <w:rPr>
                <w:rFonts w:hint="eastAsia" w:ascii="宋体" w:hAnsi="宋体"/>
                <w:b/>
                <w:color w:val="000000" w:themeColor="text1"/>
                <w:sz w:val="24"/>
                <w:lang w:val="en-US" w:eastAsia="zh-CN"/>
                <w14:textFill>
                  <w14:solidFill>
                    <w14:schemeClr w14:val="tx1"/>
                  </w14:solidFill>
                </w14:textFill>
              </w:rPr>
              <w:t>职务</w:t>
            </w:r>
          </w:p>
        </w:tc>
        <w:tc>
          <w:tcPr>
            <w:tcW w:w="1495" w:type="dxa"/>
            <w:vAlign w:val="center"/>
          </w:tcPr>
          <w:p w14:paraId="0AEAF484">
            <w:pPr>
              <w:spacing w:line="360" w:lineRule="auto"/>
              <w:jc w:val="center"/>
              <w:rPr>
                <w:rFonts w:hint="eastAsia" w:ascii="宋体" w:hAnsi="宋体" w:eastAsia="宋体"/>
                <w:b/>
                <w:color w:val="000000" w:themeColor="text1"/>
                <w:sz w:val="24"/>
                <w:lang w:val="en-US" w:eastAsia="zh-CN"/>
                <w14:textFill>
                  <w14:solidFill>
                    <w14:schemeClr w14:val="tx1"/>
                  </w14:solidFill>
                </w14:textFill>
              </w:rPr>
            </w:pPr>
            <w:r>
              <w:rPr>
                <w:rFonts w:hint="eastAsia" w:ascii="宋体" w:hAnsi="宋体"/>
                <w:b/>
                <w:color w:val="000000" w:themeColor="text1"/>
                <w:sz w:val="24"/>
                <w:lang w:val="en-US" w:eastAsia="zh-CN"/>
                <w14:textFill>
                  <w14:solidFill>
                    <w14:schemeClr w14:val="tx1"/>
                  </w14:solidFill>
                </w14:textFill>
              </w:rPr>
              <w:t>职称</w:t>
            </w:r>
          </w:p>
        </w:tc>
        <w:tc>
          <w:tcPr>
            <w:tcW w:w="1495" w:type="dxa"/>
            <w:vAlign w:val="center"/>
          </w:tcPr>
          <w:p w14:paraId="75F4CAA7">
            <w:pPr>
              <w:spacing w:line="360" w:lineRule="auto"/>
              <w:jc w:val="center"/>
              <w:rPr>
                <w:rFonts w:hint="default" w:ascii="宋体" w:hAnsi="宋体"/>
                <w:b/>
                <w:color w:val="000000" w:themeColor="text1"/>
                <w:sz w:val="24"/>
                <w:lang w:val="en-US" w:eastAsia="zh-CN"/>
                <w14:textFill>
                  <w14:solidFill>
                    <w14:schemeClr w14:val="tx1"/>
                  </w14:solidFill>
                </w14:textFill>
              </w:rPr>
            </w:pPr>
            <w:r>
              <w:rPr>
                <w:rFonts w:hint="eastAsia" w:ascii="宋体" w:hAnsi="宋体"/>
                <w:b/>
                <w:color w:val="000000" w:themeColor="text1"/>
                <w:sz w:val="24"/>
                <w:lang w:val="en-US" w:eastAsia="zh-CN"/>
                <w14:textFill>
                  <w14:solidFill>
                    <w14:schemeClr w14:val="tx1"/>
                  </w14:solidFill>
                </w14:textFill>
              </w:rPr>
              <w:t>专业</w:t>
            </w:r>
          </w:p>
        </w:tc>
        <w:tc>
          <w:tcPr>
            <w:tcW w:w="1495" w:type="dxa"/>
            <w:vAlign w:val="center"/>
          </w:tcPr>
          <w:p w14:paraId="24239773">
            <w:pPr>
              <w:spacing w:line="360" w:lineRule="auto"/>
              <w:jc w:val="center"/>
              <w:rPr>
                <w:rFonts w:hint="default" w:ascii="宋体" w:hAnsi="宋体"/>
                <w:b/>
                <w:color w:val="000000" w:themeColor="text1"/>
                <w:sz w:val="24"/>
                <w:lang w:val="en-US" w:eastAsia="zh-CN"/>
                <w14:textFill>
                  <w14:solidFill>
                    <w14:schemeClr w14:val="tx1"/>
                  </w14:solidFill>
                </w14:textFill>
              </w:rPr>
            </w:pPr>
            <w:r>
              <w:rPr>
                <w:rFonts w:hint="eastAsia" w:ascii="宋体" w:hAnsi="宋体"/>
                <w:b/>
                <w:color w:val="000000" w:themeColor="text1"/>
                <w:sz w:val="24"/>
                <w:lang w:val="en-US" w:eastAsia="zh-CN"/>
                <w14:textFill>
                  <w14:solidFill>
                    <w14:schemeClr w14:val="tx1"/>
                  </w14:solidFill>
                </w14:textFill>
              </w:rPr>
              <w:t>证书名称</w:t>
            </w:r>
          </w:p>
        </w:tc>
      </w:tr>
      <w:tr w14:paraId="79A8C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 w:type="dxa"/>
          </w:tcPr>
          <w:p w14:paraId="05133500">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647" w:type="dxa"/>
          </w:tcPr>
          <w:p w14:paraId="24FEF0CD">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773" w:type="dxa"/>
          </w:tcPr>
          <w:p w14:paraId="28186ACF">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11899C3B">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7B84FFE4">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15CB5664">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0600A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 w:type="dxa"/>
          </w:tcPr>
          <w:p w14:paraId="25692A5D">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647" w:type="dxa"/>
          </w:tcPr>
          <w:p w14:paraId="2AFC896A">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773" w:type="dxa"/>
          </w:tcPr>
          <w:p w14:paraId="70C5908F">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045E66D2">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5E24948C">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08BC36F7">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70A59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 w:type="dxa"/>
          </w:tcPr>
          <w:p w14:paraId="719BD6C8">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647" w:type="dxa"/>
          </w:tcPr>
          <w:p w14:paraId="2B282800">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773" w:type="dxa"/>
          </w:tcPr>
          <w:p w14:paraId="39137639">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666CC7E0">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7F13D829">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54FCB787">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30C71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 w:type="dxa"/>
          </w:tcPr>
          <w:p w14:paraId="4438C6B0">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647" w:type="dxa"/>
          </w:tcPr>
          <w:p w14:paraId="50E413D6">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773" w:type="dxa"/>
          </w:tcPr>
          <w:p w14:paraId="1BFFCD13">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53754FC7">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0C2E2D67">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1F6CE18C">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4BC35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 w:type="dxa"/>
          </w:tcPr>
          <w:p w14:paraId="78C11281">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647" w:type="dxa"/>
          </w:tcPr>
          <w:p w14:paraId="46A9A770">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773" w:type="dxa"/>
          </w:tcPr>
          <w:p w14:paraId="3D8E1FD1">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586244C3">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588E18FE">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71B3C0B7">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14:paraId="3C537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3" w:type="dxa"/>
          </w:tcPr>
          <w:p w14:paraId="02A9A58F">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647" w:type="dxa"/>
          </w:tcPr>
          <w:p w14:paraId="749D5FA7">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773" w:type="dxa"/>
          </w:tcPr>
          <w:p w14:paraId="4FECFB74">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467D3349">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4159D48D">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1495" w:type="dxa"/>
          </w:tcPr>
          <w:p w14:paraId="6DE97054">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bl>
    <w:p w14:paraId="233A0607">
      <w:pPr>
        <w:spacing w:line="360" w:lineRule="auto"/>
        <w:jc w:val="left"/>
        <w:rPr>
          <w:rFonts w:hint="eastAsia" w:ascii="宋体" w:hAnsi="宋体" w:eastAsia="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注:佐证资料附后</w:t>
      </w:r>
      <w:r>
        <w:rPr>
          <w:rFonts w:hint="eastAsia" w:ascii="宋体" w:hAnsi="宋体"/>
          <w:color w:val="000000" w:themeColor="text1"/>
          <w:sz w:val="28"/>
          <w:szCs w:val="28"/>
          <w:lang w:eastAsia="zh-CN"/>
          <w14:textFill>
            <w14:solidFill>
              <w14:schemeClr w14:val="tx1"/>
            </w14:solidFill>
          </w14:textFill>
        </w:rPr>
        <w:t>。</w:t>
      </w:r>
    </w:p>
    <w:p w14:paraId="5920B73D">
      <w:pPr>
        <w:spacing w:line="360" w:lineRule="auto"/>
        <w:rPr>
          <w:rFonts w:ascii="宋体" w:hAnsi="宋体"/>
          <w:color w:val="000000" w:themeColor="text1"/>
          <w:sz w:val="28"/>
          <w:szCs w:val="28"/>
          <w14:textFill>
            <w14:solidFill>
              <w14:schemeClr w14:val="tx1"/>
            </w14:solidFill>
          </w14:textFill>
        </w:rPr>
      </w:pPr>
    </w:p>
    <w:p w14:paraId="684D42C3">
      <w:pPr>
        <w:spacing w:line="360" w:lineRule="auto"/>
        <w:rPr>
          <w:rFonts w:ascii="宋体" w:hAnsi="宋体"/>
          <w:color w:val="000000" w:themeColor="text1"/>
          <w:sz w:val="28"/>
          <w:szCs w:val="28"/>
          <w14:textFill>
            <w14:solidFill>
              <w14:schemeClr w14:val="tx1"/>
            </w14:solidFill>
          </w14:textFill>
        </w:rPr>
      </w:pPr>
    </w:p>
    <w:p w14:paraId="4DBE2278">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5C7DF1DD">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70EB22D7">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05A6B761">
      <w:pPr>
        <w:spacing w:line="360" w:lineRule="auto"/>
        <w:jc w:val="center"/>
        <w:rPr>
          <w:rFonts w:ascii="Times New Roman" w:hAnsi="Times New Roman"/>
          <w:b/>
          <w:bCs/>
          <w:color w:val="000000" w:themeColor="text1"/>
          <w:sz w:val="36"/>
          <w14:textFill>
            <w14:solidFill>
              <w14:schemeClr w14:val="tx1"/>
            </w14:solidFill>
          </w14:textFill>
        </w:rPr>
        <w:sectPr>
          <w:pgSz w:w="11906" w:h="16838"/>
          <w:pgMar w:top="1270" w:right="1406" w:bottom="1276" w:left="1746" w:header="851" w:footer="822" w:gutter="0"/>
          <w:pgNumType w:fmt="numberInDash"/>
          <w:cols w:space="0" w:num="1"/>
          <w:docGrid w:type="lines" w:linePitch="312" w:charSpace="0"/>
        </w:sectPr>
      </w:pPr>
    </w:p>
    <w:p w14:paraId="2023E138">
      <w:pPr>
        <w:pStyle w:val="3"/>
      </w:pPr>
      <w:bookmarkStart w:id="133" w:name="_Toc24311"/>
      <w:bookmarkStart w:id="134" w:name="_Toc16993"/>
      <w:bookmarkStart w:id="135" w:name="_Toc21360"/>
      <w:r>
        <w:rPr>
          <w:rFonts w:hint="eastAsia"/>
        </w:rPr>
        <w:t>十</w:t>
      </w:r>
      <w:r>
        <w:rPr>
          <w:rFonts w:hint="eastAsia"/>
          <w:lang w:val="en-US" w:eastAsia="zh-CN"/>
        </w:rPr>
        <w:t>二</w:t>
      </w:r>
      <w:r>
        <w:rPr>
          <w:rFonts w:hint="eastAsia"/>
        </w:rPr>
        <w:t>、比选申请人项目业绩一览表</w:t>
      </w:r>
      <w:bookmarkEnd w:id="133"/>
      <w:bookmarkEnd w:id="134"/>
      <w:bookmarkEnd w:id="135"/>
    </w:p>
    <w:p w14:paraId="2E53C149">
      <w:pPr>
        <w:rPr>
          <w:rFonts w:ascii="Times New Roman" w:hAnsi="Times New Roman" w:eastAsia="仿宋"/>
          <w:color w:val="000000" w:themeColor="text1"/>
          <w:sz w:val="32"/>
          <w:szCs w:val="32"/>
          <w14:textFill>
            <w14:solidFill>
              <w14:schemeClr w14:val="tx1"/>
            </w14:solidFill>
          </w14:textFill>
        </w:rPr>
      </w:pPr>
    </w:p>
    <w:tbl>
      <w:tblPr>
        <w:tblStyle w:val="23"/>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70"/>
        <w:gridCol w:w="2074"/>
        <w:gridCol w:w="1824"/>
        <w:gridCol w:w="1500"/>
        <w:gridCol w:w="837"/>
      </w:tblGrid>
      <w:tr w14:paraId="62C1D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vAlign w:val="center"/>
          </w:tcPr>
          <w:p w14:paraId="39EC1896">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序号</w:t>
            </w:r>
          </w:p>
        </w:tc>
        <w:tc>
          <w:tcPr>
            <w:tcW w:w="1570" w:type="dxa"/>
            <w:vAlign w:val="center"/>
          </w:tcPr>
          <w:p w14:paraId="4B6D6CF0">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采购人</w:t>
            </w:r>
          </w:p>
        </w:tc>
        <w:tc>
          <w:tcPr>
            <w:tcW w:w="2074" w:type="dxa"/>
            <w:vAlign w:val="center"/>
          </w:tcPr>
          <w:p w14:paraId="400817AF">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项目名称</w:t>
            </w:r>
          </w:p>
        </w:tc>
        <w:tc>
          <w:tcPr>
            <w:tcW w:w="1824" w:type="dxa"/>
            <w:vAlign w:val="center"/>
          </w:tcPr>
          <w:p w14:paraId="12C68464">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合同</w:t>
            </w:r>
            <w:r>
              <w:rPr>
                <w:rFonts w:ascii="宋体" w:hAnsi="宋体"/>
                <w:color w:val="000000" w:themeColor="text1"/>
                <w:sz w:val="24"/>
                <w14:textFill>
                  <w14:solidFill>
                    <w14:schemeClr w14:val="tx1"/>
                  </w14:solidFill>
                </w14:textFill>
              </w:rPr>
              <w:t>金额</w:t>
            </w:r>
          </w:p>
          <w:p w14:paraId="21CCDF28">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（万元）</w:t>
            </w:r>
          </w:p>
        </w:tc>
        <w:tc>
          <w:tcPr>
            <w:tcW w:w="1500" w:type="dxa"/>
            <w:vAlign w:val="center"/>
          </w:tcPr>
          <w:p w14:paraId="7DC106F4">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完成时间</w:t>
            </w:r>
          </w:p>
        </w:tc>
        <w:tc>
          <w:tcPr>
            <w:tcW w:w="837" w:type="dxa"/>
            <w:vAlign w:val="center"/>
          </w:tcPr>
          <w:p w14:paraId="47F65A96">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备注</w:t>
            </w:r>
          </w:p>
        </w:tc>
      </w:tr>
      <w:tr w14:paraId="4C97C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4C37131C">
            <w:pPr>
              <w:spacing w:line="400" w:lineRule="exact"/>
              <w:jc w:val="center"/>
              <w:rPr>
                <w:rFonts w:ascii="宋体" w:hAnsi="宋体"/>
                <w:color w:val="000000" w:themeColor="text1"/>
                <w:sz w:val="24"/>
                <w14:textFill>
                  <w14:solidFill>
                    <w14:schemeClr w14:val="tx1"/>
                  </w14:solidFill>
                </w14:textFill>
              </w:rPr>
            </w:pPr>
          </w:p>
        </w:tc>
        <w:tc>
          <w:tcPr>
            <w:tcW w:w="1570" w:type="dxa"/>
          </w:tcPr>
          <w:p w14:paraId="28568E7B">
            <w:pPr>
              <w:spacing w:line="400" w:lineRule="exact"/>
              <w:jc w:val="center"/>
              <w:rPr>
                <w:rFonts w:ascii="宋体" w:hAnsi="宋体"/>
                <w:color w:val="000000" w:themeColor="text1"/>
                <w:sz w:val="24"/>
                <w14:textFill>
                  <w14:solidFill>
                    <w14:schemeClr w14:val="tx1"/>
                  </w14:solidFill>
                </w14:textFill>
              </w:rPr>
            </w:pPr>
          </w:p>
        </w:tc>
        <w:tc>
          <w:tcPr>
            <w:tcW w:w="2074" w:type="dxa"/>
          </w:tcPr>
          <w:p w14:paraId="0795F005">
            <w:pPr>
              <w:spacing w:line="400" w:lineRule="exact"/>
              <w:jc w:val="center"/>
              <w:rPr>
                <w:rFonts w:ascii="宋体" w:hAnsi="宋体"/>
                <w:color w:val="000000" w:themeColor="text1"/>
                <w:sz w:val="24"/>
                <w14:textFill>
                  <w14:solidFill>
                    <w14:schemeClr w14:val="tx1"/>
                  </w14:solidFill>
                </w14:textFill>
              </w:rPr>
            </w:pPr>
          </w:p>
        </w:tc>
        <w:tc>
          <w:tcPr>
            <w:tcW w:w="1824" w:type="dxa"/>
          </w:tcPr>
          <w:p w14:paraId="6B1394CD">
            <w:pPr>
              <w:spacing w:line="400" w:lineRule="exact"/>
              <w:jc w:val="center"/>
              <w:rPr>
                <w:rFonts w:ascii="宋体" w:hAnsi="宋体"/>
                <w:color w:val="000000" w:themeColor="text1"/>
                <w:sz w:val="24"/>
                <w14:textFill>
                  <w14:solidFill>
                    <w14:schemeClr w14:val="tx1"/>
                  </w14:solidFill>
                </w14:textFill>
              </w:rPr>
            </w:pPr>
          </w:p>
        </w:tc>
        <w:tc>
          <w:tcPr>
            <w:tcW w:w="1500" w:type="dxa"/>
          </w:tcPr>
          <w:p w14:paraId="0570FD26">
            <w:pPr>
              <w:spacing w:line="400" w:lineRule="exact"/>
              <w:jc w:val="center"/>
              <w:rPr>
                <w:rFonts w:ascii="宋体" w:hAnsi="宋体"/>
                <w:color w:val="000000" w:themeColor="text1"/>
                <w:sz w:val="24"/>
                <w14:textFill>
                  <w14:solidFill>
                    <w14:schemeClr w14:val="tx1"/>
                  </w14:solidFill>
                </w14:textFill>
              </w:rPr>
            </w:pPr>
          </w:p>
        </w:tc>
        <w:tc>
          <w:tcPr>
            <w:tcW w:w="837" w:type="dxa"/>
          </w:tcPr>
          <w:p w14:paraId="33DE7E8C">
            <w:pPr>
              <w:spacing w:line="400" w:lineRule="exact"/>
              <w:jc w:val="center"/>
              <w:rPr>
                <w:rFonts w:ascii="宋体" w:hAnsi="宋体"/>
                <w:color w:val="000000" w:themeColor="text1"/>
                <w:sz w:val="24"/>
                <w14:textFill>
                  <w14:solidFill>
                    <w14:schemeClr w14:val="tx1"/>
                  </w14:solidFill>
                </w14:textFill>
              </w:rPr>
            </w:pPr>
          </w:p>
        </w:tc>
      </w:tr>
      <w:tr w14:paraId="35822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14F20552">
            <w:pPr>
              <w:spacing w:line="400" w:lineRule="exact"/>
              <w:jc w:val="center"/>
              <w:rPr>
                <w:rFonts w:ascii="宋体" w:hAnsi="宋体"/>
                <w:color w:val="000000" w:themeColor="text1"/>
                <w:sz w:val="24"/>
                <w14:textFill>
                  <w14:solidFill>
                    <w14:schemeClr w14:val="tx1"/>
                  </w14:solidFill>
                </w14:textFill>
              </w:rPr>
            </w:pPr>
          </w:p>
        </w:tc>
        <w:tc>
          <w:tcPr>
            <w:tcW w:w="1570" w:type="dxa"/>
          </w:tcPr>
          <w:p w14:paraId="32332A08">
            <w:pPr>
              <w:spacing w:line="400" w:lineRule="exact"/>
              <w:jc w:val="center"/>
              <w:rPr>
                <w:rFonts w:ascii="宋体" w:hAnsi="宋体"/>
                <w:color w:val="000000" w:themeColor="text1"/>
                <w:sz w:val="24"/>
                <w14:textFill>
                  <w14:solidFill>
                    <w14:schemeClr w14:val="tx1"/>
                  </w14:solidFill>
                </w14:textFill>
              </w:rPr>
            </w:pPr>
          </w:p>
        </w:tc>
        <w:tc>
          <w:tcPr>
            <w:tcW w:w="2074" w:type="dxa"/>
          </w:tcPr>
          <w:p w14:paraId="1F5ADFC1">
            <w:pPr>
              <w:jc w:val="center"/>
              <w:rPr>
                <w:rFonts w:ascii="宋体" w:hAnsi="宋体"/>
                <w:color w:val="000000" w:themeColor="text1"/>
                <w:sz w:val="24"/>
                <w14:textFill>
                  <w14:solidFill>
                    <w14:schemeClr w14:val="tx1"/>
                  </w14:solidFill>
                </w14:textFill>
              </w:rPr>
            </w:pPr>
          </w:p>
        </w:tc>
        <w:tc>
          <w:tcPr>
            <w:tcW w:w="1824" w:type="dxa"/>
          </w:tcPr>
          <w:p w14:paraId="0E4E4545">
            <w:pPr>
              <w:spacing w:line="400" w:lineRule="exact"/>
              <w:jc w:val="center"/>
              <w:rPr>
                <w:rFonts w:ascii="宋体" w:hAnsi="宋体"/>
                <w:color w:val="000000" w:themeColor="text1"/>
                <w:sz w:val="24"/>
                <w14:textFill>
                  <w14:solidFill>
                    <w14:schemeClr w14:val="tx1"/>
                  </w14:solidFill>
                </w14:textFill>
              </w:rPr>
            </w:pPr>
          </w:p>
        </w:tc>
        <w:tc>
          <w:tcPr>
            <w:tcW w:w="1500" w:type="dxa"/>
          </w:tcPr>
          <w:p w14:paraId="009D4D9A">
            <w:pPr>
              <w:spacing w:line="400" w:lineRule="exact"/>
              <w:jc w:val="center"/>
              <w:rPr>
                <w:rFonts w:ascii="宋体" w:hAnsi="宋体"/>
                <w:color w:val="000000" w:themeColor="text1"/>
                <w:sz w:val="24"/>
                <w14:textFill>
                  <w14:solidFill>
                    <w14:schemeClr w14:val="tx1"/>
                  </w14:solidFill>
                </w14:textFill>
              </w:rPr>
            </w:pPr>
          </w:p>
        </w:tc>
        <w:tc>
          <w:tcPr>
            <w:tcW w:w="837" w:type="dxa"/>
          </w:tcPr>
          <w:p w14:paraId="322B076E">
            <w:pPr>
              <w:spacing w:line="400" w:lineRule="exact"/>
              <w:jc w:val="center"/>
              <w:rPr>
                <w:rFonts w:ascii="宋体" w:hAnsi="宋体"/>
                <w:color w:val="000000" w:themeColor="text1"/>
                <w:sz w:val="24"/>
                <w14:textFill>
                  <w14:solidFill>
                    <w14:schemeClr w14:val="tx1"/>
                  </w14:solidFill>
                </w14:textFill>
              </w:rPr>
            </w:pPr>
          </w:p>
        </w:tc>
      </w:tr>
      <w:tr w14:paraId="181DB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4B4C1F2A">
            <w:pPr>
              <w:spacing w:line="400" w:lineRule="exact"/>
              <w:jc w:val="center"/>
              <w:rPr>
                <w:rFonts w:ascii="宋体" w:hAnsi="宋体"/>
                <w:color w:val="000000" w:themeColor="text1"/>
                <w:sz w:val="24"/>
                <w14:textFill>
                  <w14:solidFill>
                    <w14:schemeClr w14:val="tx1"/>
                  </w14:solidFill>
                </w14:textFill>
              </w:rPr>
            </w:pPr>
          </w:p>
        </w:tc>
        <w:tc>
          <w:tcPr>
            <w:tcW w:w="1570" w:type="dxa"/>
          </w:tcPr>
          <w:p w14:paraId="45B187DC">
            <w:pPr>
              <w:spacing w:line="400" w:lineRule="exact"/>
              <w:jc w:val="center"/>
              <w:rPr>
                <w:rFonts w:ascii="宋体" w:hAnsi="宋体"/>
                <w:color w:val="000000" w:themeColor="text1"/>
                <w:sz w:val="24"/>
                <w14:textFill>
                  <w14:solidFill>
                    <w14:schemeClr w14:val="tx1"/>
                  </w14:solidFill>
                </w14:textFill>
              </w:rPr>
            </w:pPr>
          </w:p>
        </w:tc>
        <w:tc>
          <w:tcPr>
            <w:tcW w:w="2074" w:type="dxa"/>
          </w:tcPr>
          <w:p w14:paraId="15FDB21F">
            <w:pPr>
              <w:jc w:val="center"/>
              <w:rPr>
                <w:rFonts w:ascii="宋体" w:hAnsi="宋体"/>
                <w:color w:val="000000" w:themeColor="text1"/>
                <w:sz w:val="24"/>
                <w14:textFill>
                  <w14:solidFill>
                    <w14:schemeClr w14:val="tx1"/>
                  </w14:solidFill>
                </w14:textFill>
              </w:rPr>
            </w:pPr>
          </w:p>
        </w:tc>
        <w:tc>
          <w:tcPr>
            <w:tcW w:w="1824" w:type="dxa"/>
          </w:tcPr>
          <w:p w14:paraId="0F2DB6F6">
            <w:pPr>
              <w:spacing w:line="400" w:lineRule="exact"/>
              <w:jc w:val="center"/>
              <w:rPr>
                <w:rFonts w:ascii="宋体" w:hAnsi="宋体"/>
                <w:color w:val="000000" w:themeColor="text1"/>
                <w:sz w:val="24"/>
                <w14:textFill>
                  <w14:solidFill>
                    <w14:schemeClr w14:val="tx1"/>
                  </w14:solidFill>
                </w14:textFill>
              </w:rPr>
            </w:pPr>
          </w:p>
        </w:tc>
        <w:tc>
          <w:tcPr>
            <w:tcW w:w="1500" w:type="dxa"/>
          </w:tcPr>
          <w:p w14:paraId="3F12AC69">
            <w:pPr>
              <w:spacing w:line="400" w:lineRule="exact"/>
              <w:jc w:val="center"/>
              <w:rPr>
                <w:rFonts w:ascii="宋体" w:hAnsi="宋体"/>
                <w:color w:val="000000" w:themeColor="text1"/>
                <w:sz w:val="24"/>
                <w14:textFill>
                  <w14:solidFill>
                    <w14:schemeClr w14:val="tx1"/>
                  </w14:solidFill>
                </w14:textFill>
              </w:rPr>
            </w:pPr>
          </w:p>
        </w:tc>
        <w:tc>
          <w:tcPr>
            <w:tcW w:w="837" w:type="dxa"/>
          </w:tcPr>
          <w:p w14:paraId="3E750D65">
            <w:pPr>
              <w:spacing w:line="400" w:lineRule="exact"/>
              <w:jc w:val="center"/>
              <w:rPr>
                <w:rFonts w:ascii="宋体" w:hAnsi="宋体"/>
                <w:color w:val="000000" w:themeColor="text1"/>
                <w:sz w:val="24"/>
                <w14:textFill>
                  <w14:solidFill>
                    <w14:schemeClr w14:val="tx1"/>
                  </w14:solidFill>
                </w14:textFill>
              </w:rPr>
            </w:pPr>
          </w:p>
        </w:tc>
      </w:tr>
      <w:tr w14:paraId="39488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5ADD79F6">
            <w:pPr>
              <w:spacing w:line="400" w:lineRule="exact"/>
              <w:jc w:val="center"/>
              <w:rPr>
                <w:rFonts w:ascii="宋体" w:hAnsi="宋体"/>
                <w:color w:val="000000" w:themeColor="text1"/>
                <w:sz w:val="24"/>
                <w14:textFill>
                  <w14:solidFill>
                    <w14:schemeClr w14:val="tx1"/>
                  </w14:solidFill>
                </w14:textFill>
              </w:rPr>
            </w:pPr>
          </w:p>
        </w:tc>
        <w:tc>
          <w:tcPr>
            <w:tcW w:w="1570" w:type="dxa"/>
          </w:tcPr>
          <w:p w14:paraId="224F1AB9">
            <w:pPr>
              <w:spacing w:line="400" w:lineRule="exact"/>
              <w:jc w:val="center"/>
              <w:rPr>
                <w:rFonts w:ascii="宋体" w:hAnsi="宋体"/>
                <w:color w:val="000000" w:themeColor="text1"/>
                <w:sz w:val="24"/>
                <w14:textFill>
                  <w14:solidFill>
                    <w14:schemeClr w14:val="tx1"/>
                  </w14:solidFill>
                </w14:textFill>
              </w:rPr>
            </w:pPr>
          </w:p>
        </w:tc>
        <w:tc>
          <w:tcPr>
            <w:tcW w:w="2074" w:type="dxa"/>
          </w:tcPr>
          <w:p w14:paraId="4A4C3A58">
            <w:pPr>
              <w:jc w:val="center"/>
              <w:rPr>
                <w:rFonts w:ascii="宋体" w:hAnsi="宋体"/>
                <w:color w:val="000000" w:themeColor="text1"/>
                <w:sz w:val="24"/>
                <w14:textFill>
                  <w14:solidFill>
                    <w14:schemeClr w14:val="tx1"/>
                  </w14:solidFill>
                </w14:textFill>
              </w:rPr>
            </w:pPr>
          </w:p>
        </w:tc>
        <w:tc>
          <w:tcPr>
            <w:tcW w:w="1824" w:type="dxa"/>
          </w:tcPr>
          <w:p w14:paraId="1111F45E">
            <w:pPr>
              <w:spacing w:line="400" w:lineRule="exact"/>
              <w:jc w:val="center"/>
              <w:rPr>
                <w:rFonts w:ascii="宋体" w:hAnsi="宋体"/>
                <w:color w:val="000000" w:themeColor="text1"/>
                <w:sz w:val="24"/>
                <w14:textFill>
                  <w14:solidFill>
                    <w14:schemeClr w14:val="tx1"/>
                  </w14:solidFill>
                </w14:textFill>
              </w:rPr>
            </w:pPr>
          </w:p>
        </w:tc>
        <w:tc>
          <w:tcPr>
            <w:tcW w:w="1500" w:type="dxa"/>
          </w:tcPr>
          <w:p w14:paraId="339F5BFE">
            <w:pPr>
              <w:spacing w:line="400" w:lineRule="exact"/>
              <w:jc w:val="center"/>
              <w:rPr>
                <w:rFonts w:ascii="宋体" w:hAnsi="宋体"/>
                <w:color w:val="000000" w:themeColor="text1"/>
                <w:sz w:val="24"/>
                <w14:textFill>
                  <w14:solidFill>
                    <w14:schemeClr w14:val="tx1"/>
                  </w14:solidFill>
                </w14:textFill>
              </w:rPr>
            </w:pPr>
          </w:p>
        </w:tc>
        <w:tc>
          <w:tcPr>
            <w:tcW w:w="837" w:type="dxa"/>
          </w:tcPr>
          <w:p w14:paraId="3007A8BD">
            <w:pPr>
              <w:spacing w:line="400" w:lineRule="exact"/>
              <w:jc w:val="center"/>
              <w:rPr>
                <w:rFonts w:ascii="宋体" w:hAnsi="宋体"/>
                <w:color w:val="000000" w:themeColor="text1"/>
                <w:sz w:val="24"/>
                <w14:textFill>
                  <w14:solidFill>
                    <w14:schemeClr w14:val="tx1"/>
                  </w14:solidFill>
                </w14:textFill>
              </w:rPr>
            </w:pPr>
          </w:p>
        </w:tc>
      </w:tr>
      <w:tr w14:paraId="6097A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6FDA9B6E">
            <w:pPr>
              <w:spacing w:line="400" w:lineRule="exact"/>
              <w:jc w:val="center"/>
              <w:rPr>
                <w:rFonts w:ascii="宋体" w:hAnsi="宋体"/>
                <w:color w:val="000000" w:themeColor="text1"/>
                <w:sz w:val="24"/>
                <w14:textFill>
                  <w14:solidFill>
                    <w14:schemeClr w14:val="tx1"/>
                  </w14:solidFill>
                </w14:textFill>
              </w:rPr>
            </w:pPr>
          </w:p>
        </w:tc>
        <w:tc>
          <w:tcPr>
            <w:tcW w:w="1570" w:type="dxa"/>
          </w:tcPr>
          <w:p w14:paraId="765F3D83">
            <w:pPr>
              <w:spacing w:line="400" w:lineRule="exact"/>
              <w:jc w:val="center"/>
              <w:rPr>
                <w:rFonts w:ascii="宋体" w:hAnsi="宋体"/>
                <w:color w:val="000000" w:themeColor="text1"/>
                <w:sz w:val="24"/>
                <w14:textFill>
                  <w14:solidFill>
                    <w14:schemeClr w14:val="tx1"/>
                  </w14:solidFill>
                </w14:textFill>
              </w:rPr>
            </w:pPr>
          </w:p>
        </w:tc>
        <w:tc>
          <w:tcPr>
            <w:tcW w:w="2074" w:type="dxa"/>
          </w:tcPr>
          <w:p w14:paraId="11CC3BA4">
            <w:pPr>
              <w:jc w:val="center"/>
              <w:rPr>
                <w:rFonts w:ascii="宋体" w:hAnsi="宋体"/>
                <w:color w:val="000000" w:themeColor="text1"/>
                <w:sz w:val="24"/>
                <w14:textFill>
                  <w14:solidFill>
                    <w14:schemeClr w14:val="tx1"/>
                  </w14:solidFill>
                </w14:textFill>
              </w:rPr>
            </w:pPr>
          </w:p>
        </w:tc>
        <w:tc>
          <w:tcPr>
            <w:tcW w:w="1824" w:type="dxa"/>
          </w:tcPr>
          <w:p w14:paraId="2971F6EB">
            <w:pPr>
              <w:spacing w:line="400" w:lineRule="exact"/>
              <w:jc w:val="center"/>
              <w:rPr>
                <w:rFonts w:ascii="宋体" w:hAnsi="宋体"/>
                <w:color w:val="000000" w:themeColor="text1"/>
                <w:sz w:val="24"/>
                <w14:textFill>
                  <w14:solidFill>
                    <w14:schemeClr w14:val="tx1"/>
                  </w14:solidFill>
                </w14:textFill>
              </w:rPr>
            </w:pPr>
          </w:p>
        </w:tc>
        <w:tc>
          <w:tcPr>
            <w:tcW w:w="1500" w:type="dxa"/>
          </w:tcPr>
          <w:p w14:paraId="6A349111">
            <w:pPr>
              <w:spacing w:line="400" w:lineRule="exact"/>
              <w:jc w:val="center"/>
              <w:rPr>
                <w:rFonts w:ascii="宋体" w:hAnsi="宋体"/>
                <w:color w:val="000000" w:themeColor="text1"/>
                <w:sz w:val="24"/>
                <w14:textFill>
                  <w14:solidFill>
                    <w14:schemeClr w14:val="tx1"/>
                  </w14:solidFill>
                </w14:textFill>
              </w:rPr>
            </w:pPr>
          </w:p>
        </w:tc>
        <w:tc>
          <w:tcPr>
            <w:tcW w:w="837" w:type="dxa"/>
          </w:tcPr>
          <w:p w14:paraId="7521BD73">
            <w:pPr>
              <w:spacing w:line="400" w:lineRule="exact"/>
              <w:jc w:val="center"/>
              <w:rPr>
                <w:rFonts w:ascii="宋体" w:hAnsi="宋体"/>
                <w:color w:val="000000" w:themeColor="text1"/>
                <w:sz w:val="24"/>
                <w14:textFill>
                  <w14:solidFill>
                    <w14:schemeClr w14:val="tx1"/>
                  </w14:solidFill>
                </w14:textFill>
              </w:rPr>
            </w:pPr>
          </w:p>
        </w:tc>
      </w:tr>
      <w:tr w14:paraId="171DD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7D189279">
            <w:pPr>
              <w:spacing w:line="400" w:lineRule="exact"/>
              <w:jc w:val="center"/>
              <w:rPr>
                <w:rFonts w:ascii="宋体" w:hAnsi="宋体"/>
                <w:color w:val="000000" w:themeColor="text1"/>
                <w:sz w:val="24"/>
                <w14:textFill>
                  <w14:solidFill>
                    <w14:schemeClr w14:val="tx1"/>
                  </w14:solidFill>
                </w14:textFill>
              </w:rPr>
            </w:pPr>
          </w:p>
        </w:tc>
        <w:tc>
          <w:tcPr>
            <w:tcW w:w="1570" w:type="dxa"/>
          </w:tcPr>
          <w:p w14:paraId="68580C34">
            <w:pPr>
              <w:spacing w:line="400" w:lineRule="exact"/>
              <w:jc w:val="center"/>
              <w:rPr>
                <w:rFonts w:ascii="宋体" w:hAnsi="宋体"/>
                <w:color w:val="000000" w:themeColor="text1"/>
                <w:sz w:val="24"/>
                <w14:textFill>
                  <w14:solidFill>
                    <w14:schemeClr w14:val="tx1"/>
                  </w14:solidFill>
                </w14:textFill>
              </w:rPr>
            </w:pPr>
          </w:p>
        </w:tc>
        <w:tc>
          <w:tcPr>
            <w:tcW w:w="2074" w:type="dxa"/>
          </w:tcPr>
          <w:p w14:paraId="0CCCD18C">
            <w:pPr>
              <w:spacing w:line="400" w:lineRule="exact"/>
              <w:jc w:val="center"/>
              <w:rPr>
                <w:rFonts w:ascii="宋体" w:hAnsi="宋体"/>
                <w:color w:val="000000" w:themeColor="text1"/>
                <w:sz w:val="24"/>
                <w14:textFill>
                  <w14:solidFill>
                    <w14:schemeClr w14:val="tx1"/>
                  </w14:solidFill>
                </w14:textFill>
              </w:rPr>
            </w:pPr>
          </w:p>
        </w:tc>
        <w:tc>
          <w:tcPr>
            <w:tcW w:w="1824" w:type="dxa"/>
          </w:tcPr>
          <w:p w14:paraId="77B2C674">
            <w:pPr>
              <w:spacing w:line="400" w:lineRule="exact"/>
              <w:jc w:val="center"/>
              <w:rPr>
                <w:rFonts w:ascii="宋体" w:hAnsi="宋体"/>
                <w:color w:val="000000" w:themeColor="text1"/>
                <w:sz w:val="24"/>
                <w14:textFill>
                  <w14:solidFill>
                    <w14:schemeClr w14:val="tx1"/>
                  </w14:solidFill>
                </w14:textFill>
              </w:rPr>
            </w:pPr>
          </w:p>
        </w:tc>
        <w:tc>
          <w:tcPr>
            <w:tcW w:w="1500" w:type="dxa"/>
          </w:tcPr>
          <w:p w14:paraId="22E302A8">
            <w:pPr>
              <w:spacing w:line="400" w:lineRule="exact"/>
              <w:jc w:val="center"/>
              <w:rPr>
                <w:rFonts w:ascii="宋体" w:hAnsi="宋体"/>
                <w:color w:val="000000" w:themeColor="text1"/>
                <w:sz w:val="24"/>
                <w14:textFill>
                  <w14:solidFill>
                    <w14:schemeClr w14:val="tx1"/>
                  </w14:solidFill>
                </w14:textFill>
              </w:rPr>
            </w:pPr>
          </w:p>
        </w:tc>
        <w:tc>
          <w:tcPr>
            <w:tcW w:w="837" w:type="dxa"/>
          </w:tcPr>
          <w:p w14:paraId="6149284B">
            <w:pPr>
              <w:spacing w:line="400" w:lineRule="exact"/>
              <w:jc w:val="center"/>
              <w:rPr>
                <w:rFonts w:ascii="宋体" w:hAnsi="宋体"/>
                <w:color w:val="000000" w:themeColor="text1"/>
                <w:sz w:val="24"/>
                <w14:textFill>
                  <w14:solidFill>
                    <w14:schemeClr w14:val="tx1"/>
                  </w14:solidFill>
                </w14:textFill>
              </w:rPr>
            </w:pPr>
          </w:p>
        </w:tc>
      </w:tr>
    </w:tbl>
    <w:p w14:paraId="47B4D2F7">
      <w:pPr>
        <w:jc w:val="center"/>
        <w:rPr>
          <w:rFonts w:ascii="Times New Roman" w:hAnsi="Times New Roman"/>
          <w:color w:val="000000" w:themeColor="text1"/>
          <w14:textFill>
            <w14:solidFill>
              <w14:schemeClr w14:val="tx1"/>
            </w14:solidFill>
          </w14:textFill>
        </w:rPr>
      </w:pPr>
    </w:p>
    <w:p w14:paraId="0CBC4841">
      <w:pPr>
        <w:spacing w:line="360" w:lineRule="auto"/>
        <w:jc w:val="left"/>
        <w:rPr>
          <w:rFonts w:hint="eastAsia" w:ascii="宋体" w:hAnsi="宋体" w:eastAsia="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注:佐证资料附后</w:t>
      </w:r>
      <w:r>
        <w:rPr>
          <w:rFonts w:hint="eastAsia" w:ascii="宋体" w:hAnsi="宋体"/>
          <w:color w:val="000000" w:themeColor="text1"/>
          <w:sz w:val="28"/>
          <w:szCs w:val="28"/>
          <w:lang w:eastAsia="zh-CN"/>
          <w14:textFill>
            <w14:solidFill>
              <w14:schemeClr w14:val="tx1"/>
            </w14:solidFill>
          </w14:textFill>
        </w:rPr>
        <w:t>。</w:t>
      </w:r>
    </w:p>
    <w:p w14:paraId="52B5D1B8">
      <w:pPr>
        <w:spacing w:line="360" w:lineRule="auto"/>
        <w:jc w:val="center"/>
        <w:rPr>
          <w:rFonts w:ascii="Times New Roman" w:hAnsi="Times New Roman"/>
          <w:b/>
          <w:bCs/>
          <w:color w:val="000000" w:themeColor="text1"/>
          <w:sz w:val="36"/>
          <w14:textFill>
            <w14:solidFill>
              <w14:schemeClr w14:val="tx1"/>
            </w14:solidFill>
          </w14:textFill>
        </w:rPr>
      </w:pPr>
    </w:p>
    <w:p w14:paraId="596A8165">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14:paraId="72E9C8E0">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14:paraId="7376C49D">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14:paraId="5AE392BB">
      <w:pPr>
        <w:rPr>
          <w:rFonts w:ascii="宋体" w:hAnsi="宋体"/>
          <w:b/>
          <w:bCs/>
          <w:color w:val="000000" w:themeColor="text1"/>
          <w:sz w:val="28"/>
          <w:szCs w:val="28"/>
          <w14:textFill>
            <w14:solidFill>
              <w14:schemeClr w14:val="tx1"/>
            </w14:solidFill>
          </w14:textFill>
        </w:rPr>
      </w:pPr>
    </w:p>
    <w:p w14:paraId="27B35209">
      <w:pPr>
        <w:widowControl/>
        <w:jc w:val="left"/>
        <w:rPr>
          <w:rFonts w:ascii="Times New Roman" w:hAnsi="Times New Roman"/>
        </w:rPr>
      </w:pPr>
      <w:r>
        <w:br w:type="page"/>
      </w:r>
    </w:p>
    <w:p w14:paraId="438EBBFF">
      <w:pPr>
        <w:pStyle w:val="9"/>
      </w:pPr>
    </w:p>
    <w:p w14:paraId="0C5CF385">
      <w:pPr>
        <w:pStyle w:val="3"/>
      </w:pPr>
      <w:bookmarkStart w:id="136" w:name="_Toc22310"/>
      <w:bookmarkStart w:id="137" w:name="_Toc6405"/>
      <w:bookmarkStart w:id="138" w:name="_Toc26381"/>
      <w:r>
        <w:rPr>
          <w:rFonts w:hint="eastAsia"/>
        </w:rPr>
        <w:t>十</w:t>
      </w:r>
      <w:r>
        <w:rPr>
          <w:rFonts w:hint="eastAsia"/>
          <w:lang w:val="en-US" w:eastAsia="zh-CN"/>
        </w:rPr>
        <w:t>三</w:t>
      </w:r>
      <w:r>
        <w:rPr>
          <w:rFonts w:hint="eastAsia"/>
        </w:rPr>
        <w:t>、项目方案</w:t>
      </w:r>
      <w:bookmarkEnd w:id="136"/>
      <w:bookmarkEnd w:id="137"/>
      <w:bookmarkEnd w:id="138"/>
    </w:p>
    <w:p w14:paraId="35F59371">
      <w:pPr>
        <w:spacing w:line="360" w:lineRule="auto"/>
        <w:jc w:val="center"/>
        <w:rPr>
          <w:rFonts w:ascii="宋体" w:hAnsi="宋体"/>
          <w:b/>
          <w:bCs/>
          <w:color w:val="000000" w:themeColor="text1"/>
          <w:sz w:val="28"/>
          <w:szCs w:val="28"/>
          <w14:textFill>
            <w14:solidFill>
              <w14:schemeClr w14:val="tx1"/>
            </w14:solidFill>
          </w14:textFill>
        </w:rPr>
      </w:pPr>
    </w:p>
    <w:p w14:paraId="0B4EA4BC">
      <w:pPr>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（格式自拟，不限字数）</w:t>
      </w:r>
    </w:p>
    <w:p w14:paraId="6A5F9C6C">
      <w:pPr>
        <w:pStyle w:val="6"/>
        <w:jc w:val="both"/>
        <w:rPr>
          <w:color w:val="000000" w:themeColor="text1"/>
          <w:sz w:val="28"/>
          <w:szCs w:val="28"/>
          <w14:textFill>
            <w14:solidFill>
              <w14:schemeClr w14:val="tx1"/>
            </w14:solidFill>
          </w14:textFill>
        </w:rPr>
      </w:pPr>
    </w:p>
    <w:sectPr>
      <w:footerReference r:id="rId5"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4263FD">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7D5E32A0">
                          <w:pPr>
                            <w:pStyle w:val="17"/>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- 23 -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14:paraId="7D5E32A0">
                    <w:pPr>
                      <w:pStyle w:val="17"/>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- 23 -</w:t>
                    </w:r>
                    <w:r>
                      <w:rPr>
                        <w:b/>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CC234A">
    <w:pPr>
      <w:pStyle w:val="17"/>
    </w:pPr>
    <w:r>
      <mc:AlternateContent>
        <mc:Choice Requires="wps">
          <w:drawing>
            <wp:anchor distT="0" distB="0" distL="114300" distR="114300" simplePos="0" relativeHeight="251661312" behindDoc="0" locked="0" layoutInCell="1" allowOverlap="1">
              <wp:simplePos x="0" y="0"/>
              <wp:positionH relativeFrom="margin">
                <wp:posOffset>2456180</wp:posOffset>
              </wp:positionH>
              <wp:positionV relativeFrom="paragraph">
                <wp:posOffset>-635</wp:posOffset>
              </wp:positionV>
              <wp:extent cx="500380" cy="125730"/>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00380" cy="125730"/>
                      </a:xfrm>
                      <a:prstGeom prst="rect">
                        <a:avLst/>
                      </a:prstGeom>
                      <a:noFill/>
                      <a:ln>
                        <a:noFill/>
                      </a:ln>
                    </wps:spPr>
                    <wps:txbx>
                      <w:txbxContent>
                        <w:p w14:paraId="081B09D9">
                          <w:pPr>
                            <w:pStyle w:val="17"/>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sz w:val="18"/>
                              <w:szCs w:val="18"/>
                            </w:rPr>
                            <w:fldChar w:fldCharType="begin"/>
                          </w:r>
                          <w:r>
                            <w:rPr>
                              <w:rFonts w:hint="eastAsia" w:asciiTheme="minorEastAsia" w:hAnsiTheme="minorEastAsia" w:eastAsiaTheme="minorEastAsia" w:cstheme="minorEastAsia"/>
                              <w:b/>
                              <w:sz w:val="18"/>
                              <w:szCs w:val="18"/>
                            </w:rPr>
                            <w:instrText xml:space="preserve">PAGE</w:instrText>
                          </w:r>
                          <w:r>
                            <w:rPr>
                              <w:rFonts w:hint="eastAsia" w:asciiTheme="minorEastAsia" w:hAnsiTheme="minorEastAsia" w:eastAsiaTheme="minorEastAsia" w:cstheme="minorEastAsia"/>
                              <w:b/>
                              <w:sz w:val="18"/>
                              <w:szCs w:val="18"/>
                            </w:rPr>
                            <w:fldChar w:fldCharType="separate"/>
                          </w:r>
                          <w:r>
                            <w:rPr>
                              <w:rFonts w:hint="eastAsia" w:asciiTheme="minorEastAsia" w:hAnsiTheme="minorEastAsia" w:eastAsiaTheme="minorEastAsia" w:cstheme="minorEastAsia"/>
                              <w:b/>
                              <w:sz w:val="18"/>
                              <w:szCs w:val="18"/>
                            </w:rPr>
                            <w:t>- 28 -</w:t>
                          </w:r>
                          <w:r>
                            <w:rPr>
                              <w:rFonts w:hint="eastAsia" w:asciiTheme="minorEastAsia" w:hAnsiTheme="minorEastAsia" w:eastAsiaTheme="minorEastAsia" w:cstheme="minorEastAsia"/>
                              <w:b/>
                              <w:sz w:val="18"/>
                              <w:szCs w:val="18"/>
                            </w:rPr>
                            <w:fldChar w:fldCharType="end"/>
                          </w:r>
                        </w:p>
                      </w:txbxContent>
                    </wps:txbx>
                    <wps:bodyPr rot="0" vert="horz" wrap="square" lIns="0" tIns="0" rIns="0" bIns="0" anchor="t" anchorCtr="0" upright="1">
                      <a:noAutofit/>
                    </wps:bodyPr>
                  </wps:wsp>
                </a:graphicData>
              </a:graphic>
            </wp:anchor>
          </w:drawing>
        </mc:Choice>
        <mc:Fallback>
          <w:pict>
            <v:shape id="Text Box 1027" o:spid="_x0000_s1026" o:spt="202" type="#_x0000_t202" style="position:absolute;left:0pt;margin-left:193.4pt;margin-top:-0.05pt;height:9.9pt;width:39.4pt;mso-position-horizontal-relative:margin;z-index:251661312;mso-width-relative:page;mso-height-relative:page;" filled="f" stroked="f" coordsize="21600,21600" o:gfxdata="UEsDBAoAAAAAAIdO4kAAAAAAAAAAAAAAAAAEAAAAZHJzL1BLAwQUAAAACACHTuJAhrj6VNgAAAAI&#10;AQAADwAAAGRycy9kb3ducmV2LnhtbE2Py07DMBRE90j8g3UrsWvt8DBtGqdCCFZIqGlYsHRiN7Ea&#10;X4fYffD3XFawHM1o5kyxufiBnewUXUAF2UIAs9gG47BT8FG/zpfAYtJo9BDQKvi2ETbl9VWhcxPO&#10;WNnTLnWMSjDmWkGf0phzHtveeh0XYbRI3j5MXieSU8fNpM9U7gd+K4TkXjukhV6P9rm37WF39Aqe&#10;PrF6cV/vzbbaV66uVwLf5EGpm1km1sCSvaS/MPziEzqUxNSEI5rIBgV3S0noScE8A0b+vXyQwBoK&#10;rh6BlwX/f6D8AVBLAwQUAAAACACHTuJAZh3t0f8BAAAGBAAADgAAAGRycy9lMm9Eb2MueG1srVNN&#10;b9swDL0P2H8QdF/sJOhaGHGKrkGHAd0H0O4HMLIcC7NEjVJid79+lJxkXXfpYReBEqmn9x6p1fVo&#10;e3HQFAy6Ws5npRTaKWyM29Xy++PduyspQgTXQI9O1/JJB3m9fvtmNfhKL7DDvtEkGMSFavC17GL0&#10;VVEE1WkLYYZeO062SBYib2lXNAQDo9u+WJTl+2JAajyh0iHw6WZKyiMivQYQ29YovUG1t9rFCZV0&#10;D5Elhc74INeZbdtqFb+2bdBR9LVkpTGv/AjH27QW6xVUOwLfGXWkAK+h8EKTBeP40TPUBiKIPZl/&#10;oKxRhAHbOFNoi0lIdoRVzMsX3jx04HXWwlYHfzY9/D9Y9eXwjYRparmUwoHlhj/qMYoPOIp5ubhM&#10;Bg0+VFz34Lkyjpzhsclig79H9SMIh7cduJ2+IcKh09AwwXm6WTy7OuGEBLIdPmPDL8E+YgYaW7LJ&#10;PfZDMDo35+ncnMRG8eFFWS6vOKM4NV9cXC5z8wqoTpc9hfhRoxUpqCVx7zM4HO5DTGSgOpWktxze&#10;mb7P/e/dXwdcmE4y+cR3Yh7H7Xg0Y4vNE8sgnMaJPxMHHdIvKQYepVqGn3sgLUX/ybEVae5OAZ2C&#10;7SkAp/hqLaMUU3gbp/ncezK7jpEnsx3esF2tyVKSrxOLI08ej6zwOMpp/p7vc9Wf77v+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a4+lTYAAAACAEAAA8AAAAAAAAAAQAgAAAAIgAAAGRycy9kb3du&#10;cmV2LnhtbFBLAQIUABQAAAAIAIdO4kBmHe3R/wEAAAYEAAAOAAAAAAAAAAEAIAAAACcBAABkcnMv&#10;ZTJvRG9jLnhtbFBLBQYAAAAABgAGAFkBAACYBQAAAAA=&#10;">
              <v:fill on="f" focussize="0,0"/>
              <v:stroke on="f"/>
              <v:imagedata o:title=""/>
              <o:lock v:ext="edit" aspectratio="f"/>
              <v:textbox inset="0mm,0mm,0mm,0mm">
                <w:txbxContent>
                  <w:p w14:paraId="081B09D9">
                    <w:pPr>
                      <w:pStyle w:val="17"/>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sz w:val="18"/>
                        <w:szCs w:val="18"/>
                      </w:rPr>
                      <w:fldChar w:fldCharType="begin"/>
                    </w:r>
                    <w:r>
                      <w:rPr>
                        <w:rFonts w:hint="eastAsia" w:asciiTheme="minorEastAsia" w:hAnsiTheme="minorEastAsia" w:eastAsiaTheme="minorEastAsia" w:cstheme="minorEastAsia"/>
                        <w:b/>
                        <w:sz w:val="18"/>
                        <w:szCs w:val="18"/>
                      </w:rPr>
                      <w:instrText xml:space="preserve">PAGE</w:instrText>
                    </w:r>
                    <w:r>
                      <w:rPr>
                        <w:rFonts w:hint="eastAsia" w:asciiTheme="minorEastAsia" w:hAnsiTheme="minorEastAsia" w:eastAsiaTheme="minorEastAsia" w:cstheme="minorEastAsia"/>
                        <w:b/>
                        <w:sz w:val="18"/>
                        <w:szCs w:val="18"/>
                      </w:rPr>
                      <w:fldChar w:fldCharType="separate"/>
                    </w:r>
                    <w:r>
                      <w:rPr>
                        <w:rFonts w:hint="eastAsia" w:asciiTheme="minorEastAsia" w:hAnsiTheme="minorEastAsia" w:eastAsiaTheme="minorEastAsia" w:cstheme="minorEastAsia"/>
                        <w:b/>
                        <w:sz w:val="18"/>
                        <w:szCs w:val="18"/>
                      </w:rPr>
                      <w:t>- 28 -</w:t>
                    </w:r>
                    <w:r>
                      <w:rPr>
                        <w:rFonts w:hint="eastAsia" w:asciiTheme="minorEastAsia" w:hAnsiTheme="minorEastAsia" w:eastAsiaTheme="minorEastAsia" w:cstheme="minorEastAsia"/>
                        <w:b/>
                        <w:sz w:val="18"/>
                        <w:szCs w:val="1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05BADB">
    <w:pPr>
      <w:pStyle w:val="17"/>
    </w:pPr>
  </w:p>
  <w:p w14:paraId="18D836AD">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14:paraId="60E1605E">
                          <w:pPr>
                            <w:pStyle w:val="17"/>
                            <w:jc w:val="center"/>
                          </w:pPr>
                          <w:r>
                            <w:rPr>
                              <w:b/>
                              <w:sz w:val="24"/>
                            </w:rPr>
                            <w:fldChar w:fldCharType="begin"/>
                          </w:r>
                          <w:r>
                            <w:rPr>
                              <w:b/>
                            </w:rPr>
                            <w:instrText xml:space="preserve">PAGE</w:instrText>
                          </w:r>
                          <w:r>
                            <w:rPr>
                              <w:b/>
                              <w:sz w:val="24"/>
                            </w:rPr>
                            <w:fldChar w:fldCharType="separate"/>
                          </w:r>
                          <w:r>
                            <w:rPr>
                              <w:b/>
                            </w:rPr>
                            <w:t>- 41 -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14:paraId="60E1605E">
                    <w:pPr>
                      <w:pStyle w:val="17"/>
                      <w:jc w:val="center"/>
                    </w:pPr>
                    <w:r>
                      <w:rPr>
                        <w:b/>
                        <w:sz w:val="24"/>
                      </w:rPr>
                      <w:fldChar w:fldCharType="begin"/>
                    </w:r>
                    <w:r>
                      <w:rPr>
                        <w:b/>
                      </w:rPr>
                      <w:instrText xml:space="preserve">PAGE</w:instrText>
                    </w:r>
                    <w:r>
                      <w:rPr>
                        <w:b/>
                        <w:sz w:val="24"/>
                      </w:rPr>
                      <w:fldChar w:fldCharType="separate"/>
                    </w:r>
                    <w:r>
                      <w:rPr>
                        <w:b/>
                      </w:rPr>
                      <w:t>- 41 -</w:t>
                    </w:r>
                    <w:r>
                      <w:rPr>
                        <w:b/>
                        <w:sz w:val="24"/>
                      </w:rPr>
                      <w:fldChar w:fldCharType="end"/>
                    </w:r>
                  </w:p>
                </w:txbxContent>
              </v:textbox>
            </v:shape>
          </w:pict>
        </mc:Fallback>
      </mc:AlternateContent>
    </w:r>
  </w:p>
  <w:p w14:paraId="26259F9E">
    <w:pPr>
      <w:pStyle w:val="1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C98408"/>
    <w:multiLevelType w:val="singleLevel"/>
    <w:tmpl w:val="82C98408"/>
    <w:lvl w:ilvl="0" w:tentative="0">
      <w:start w:val="1"/>
      <w:numFmt w:val="decimal"/>
      <w:suff w:val="nothing"/>
      <w:lvlText w:val="（%1）"/>
      <w:lvlJc w:val="left"/>
    </w:lvl>
  </w:abstractNum>
  <w:abstractNum w:abstractNumId="1">
    <w:nsid w:val="E49F5477"/>
    <w:multiLevelType w:val="singleLevel"/>
    <w:tmpl w:val="E49F5477"/>
    <w:lvl w:ilvl="0" w:tentative="0">
      <w:start w:val="1"/>
      <w:numFmt w:val="decimal"/>
      <w:lvlText w:val="%1."/>
      <w:lvlJc w:val="left"/>
      <w:pPr>
        <w:tabs>
          <w:tab w:val="left" w:pos="312"/>
        </w:tabs>
      </w:pPr>
    </w:lvl>
  </w:abstractNum>
  <w:abstractNum w:abstractNumId="2">
    <w:nsid w:val="18A804A5"/>
    <w:multiLevelType w:val="singleLevel"/>
    <w:tmpl w:val="18A804A5"/>
    <w:lvl w:ilvl="0" w:tentative="0">
      <w:start w:val="6"/>
      <w:numFmt w:val="chineseCounting"/>
      <w:suff w:val="nothing"/>
      <w:lvlText w:val="%1、"/>
      <w:lvlJc w:val="left"/>
      <w:rPr>
        <w:rFonts w:hint="eastAsia"/>
      </w:rPr>
    </w:lvl>
  </w:abstractNum>
  <w:abstractNum w:abstractNumId="3">
    <w:nsid w:val="54DCDE1A"/>
    <w:multiLevelType w:val="singleLevel"/>
    <w:tmpl w:val="54DCDE1A"/>
    <w:lvl w:ilvl="0" w:tentative="0">
      <w:start w:val="2"/>
      <w:numFmt w:val="decimal"/>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118"/>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RkZWI0Zjg4YTQ1ZWE3MDRjZDhiYTg5YTMyMmNmNTc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B715F"/>
    <w:rsid w:val="000C16A5"/>
    <w:rsid w:val="000C62E1"/>
    <w:rsid w:val="000C720E"/>
    <w:rsid w:val="000D05F0"/>
    <w:rsid w:val="000E2F9E"/>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4C0A"/>
    <w:rsid w:val="00175D2F"/>
    <w:rsid w:val="00181ACC"/>
    <w:rsid w:val="001906B6"/>
    <w:rsid w:val="00191447"/>
    <w:rsid w:val="0019179B"/>
    <w:rsid w:val="00191E60"/>
    <w:rsid w:val="001937E2"/>
    <w:rsid w:val="001A04F4"/>
    <w:rsid w:val="001A65F7"/>
    <w:rsid w:val="001A765A"/>
    <w:rsid w:val="001B35E1"/>
    <w:rsid w:val="001B4317"/>
    <w:rsid w:val="001B4AF2"/>
    <w:rsid w:val="001C0ED3"/>
    <w:rsid w:val="001C3593"/>
    <w:rsid w:val="001C41DA"/>
    <w:rsid w:val="001C648A"/>
    <w:rsid w:val="001C68FB"/>
    <w:rsid w:val="001E0677"/>
    <w:rsid w:val="001E3AFF"/>
    <w:rsid w:val="001F783E"/>
    <w:rsid w:val="00200B3B"/>
    <w:rsid w:val="00201588"/>
    <w:rsid w:val="00212D68"/>
    <w:rsid w:val="002260AA"/>
    <w:rsid w:val="00234A35"/>
    <w:rsid w:val="0024370E"/>
    <w:rsid w:val="0025741D"/>
    <w:rsid w:val="0026609B"/>
    <w:rsid w:val="00270CD2"/>
    <w:rsid w:val="00280C1D"/>
    <w:rsid w:val="00282B40"/>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75730"/>
    <w:rsid w:val="00383C8B"/>
    <w:rsid w:val="00384FBB"/>
    <w:rsid w:val="00392DAD"/>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400E4"/>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267B"/>
    <w:rsid w:val="00604BE7"/>
    <w:rsid w:val="00606793"/>
    <w:rsid w:val="0061749D"/>
    <w:rsid w:val="00617B81"/>
    <w:rsid w:val="00621D63"/>
    <w:rsid w:val="00622E50"/>
    <w:rsid w:val="00624531"/>
    <w:rsid w:val="00626FBF"/>
    <w:rsid w:val="00630E6C"/>
    <w:rsid w:val="00650744"/>
    <w:rsid w:val="006565C6"/>
    <w:rsid w:val="006576EA"/>
    <w:rsid w:val="006617CD"/>
    <w:rsid w:val="00662C9D"/>
    <w:rsid w:val="00670B6F"/>
    <w:rsid w:val="00674038"/>
    <w:rsid w:val="006760BE"/>
    <w:rsid w:val="00676FE0"/>
    <w:rsid w:val="0068050D"/>
    <w:rsid w:val="00680AA9"/>
    <w:rsid w:val="00684698"/>
    <w:rsid w:val="0069755E"/>
    <w:rsid w:val="006A38B1"/>
    <w:rsid w:val="006B258F"/>
    <w:rsid w:val="006B7701"/>
    <w:rsid w:val="006C4D8A"/>
    <w:rsid w:val="006C5E03"/>
    <w:rsid w:val="006E39B9"/>
    <w:rsid w:val="006E4594"/>
    <w:rsid w:val="00700845"/>
    <w:rsid w:val="00704A1E"/>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57FB9"/>
    <w:rsid w:val="00962FE2"/>
    <w:rsid w:val="00970048"/>
    <w:rsid w:val="009760F8"/>
    <w:rsid w:val="009806A2"/>
    <w:rsid w:val="00984C72"/>
    <w:rsid w:val="00997988"/>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45BF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5347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0D42"/>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59E"/>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5EA"/>
    <w:rsid w:val="00F92FE9"/>
    <w:rsid w:val="00F9689D"/>
    <w:rsid w:val="00FB411B"/>
    <w:rsid w:val="00FB6ECF"/>
    <w:rsid w:val="00FC02B7"/>
    <w:rsid w:val="00FC03AE"/>
    <w:rsid w:val="00FC37FA"/>
    <w:rsid w:val="00FC6272"/>
    <w:rsid w:val="00FC6C37"/>
    <w:rsid w:val="00FD2EEE"/>
    <w:rsid w:val="00FE2742"/>
    <w:rsid w:val="00FE5FFE"/>
    <w:rsid w:val="00FE6222"/>
    <w:rsid w:val="00FE77A4"/>
    <w:rsid w:val="01D24E8F"/>
    <w:rsid w:val="026B1259"/>
    <w:rsid w:val="029C58B6"/>
    <w:rsid w:val="02D3778F"/>
    <w:rsid w:val="033B2FA9"/>
    <w:rsid w:val="033B6E7D"/>
    <w:rsid w:val="0347171B"/>
    <w:rsid w:val="03B15391"/>
    <w:rsid w:val="03E272F9"/>
    <w:rsid w:val="03F209DD"/>
    <w:rsid w:val="041A6F2B"/>
    <w:rsid w:val="04674597"/>
    <w:rsid w:val="04912ACD"/>
    <w:rsid w:val="04B0389B"/>
    <w:rsid w:val="05384ECA"/>
    <w:rsid w:val="05390A32"/>
    <w:rsid w:val="054B5371"/>
    <w:rsid w:val="05565D5F"/>
    <w:rsid w:val="066A6FE3"/>
    <w:rsid w:val="069D7E4F"/>
    <w:rsid w:val="06B20ED9"/>
    <w:rsid w:val="077E53E9"/>
    <w:rsid w:val="077F1302"/>
    <w:rsid w:val="078132F0"/>
    <w:rsid w:val="07946674"/>
    <w:rsid w:val="07FB307F"/>
    <w:rsid w:val="080D4B60"/>
    <w:rsid w:val="081B102B"/>
    <w:rsid w:val="08406CE4"/>
    <w:rsid w:val="08B55BEE"/>
    <w:rsid w:val="09192E71"/>
    <w:rsid w:val="09D122E9"/>
    <w:rsid w:val="0A9D21CB"/>
    <w:rsid w:val="0AC02F04"/>
    <w:rsid w:val="0B8E57A5"/>
    <w:rsid w:val="0BAC2D7E"/>
    <w:rsid w:val="0C3139E1"/>
    <w:rsid w:val="0CC24DCB"/>
    <w:rsid w:val="0D2546FA"/>
    <w:rsid w:val="0D7274AB"/>
    <w:rsid w:val="0DF90060"/>
    <w:rsid w:val="0E0A5DCA"/>
    <w:rsid w:val="0E721BC1"/>
    <w:rsid w:val="0E781994"/>
    <w:rsid w:val="0E8518F4"/>
    <w:rsid w:val="0E883C4C"/>
    <w:rsid w:val="0E9C7797"/>
    <w:rsid w:val="0ECB34E4"/>
    <w:rsid w:val="0EE52F38"/>
    <w:rsid w:val="0F4D274D"/>
    <w:rsid w:val="0F693DF5"/>
    <w:rsid w:val="0F8E47D8"/>
    <w:rsid w:val="0F9524E3"/>
    <w:rsid w:val="0FCB1589"/>
    <w:rsid w:val="1045758D"/>
    <w:rsid w:val="10463305"/>
    <w:rsid w:val="106027BC"/>
    <w:rsid w:val="106808AE"/>
    <w:rsid w:val="10BB15FD"/>
    <w:rsid w:val="10D2543E"/>
    <w:rsid w:val="10E03F78"/>
    <w:rsid w:val="114710E3"/>
    <w:rsid w:val="1148051E"/>
    <w:rsid w:val="11891AE7"/>
    <w:rsid w:val="11934328"/>
    <w:rsid w:val="11EB1461"/>
    <w:rsid w:val="120E5917"/>
    <w:rsid w:val="130A4366"/>
    <w:rsid w:val="13314FCE"/>
    <w:rsid w:val="13533D6F"/>
    <w:rsid w:val="13857CA0"/>
    <w:rsid w:val="13CB5FFB"/>
    <w:rsid w:val="13E2424A"/>
    <w:rsid w:val="14290F74"/>
    <w:rsid w:val="16116963"/>
    <w:rsid w:val="163374DE"/>
    <w:rsid w:val="163830CC"/>
    <w:rsid w:val="163D4862"/>
    <w:rsid w:val="16E51018"/>
    <w:rsid w:val="171564CB"/>
    <w:rsid w:val="17231D5F"/>
    <w:rsid w:val="17321EED"/>
    <w:rsid w:val="1739327C"/>
    <w:rsid w:val="179130B8"/>
    <w:rsid w:val="17B31E8D"/>
    <w:rsid w:val="194C5023"/>
    <w:rsid w:val="19BE5CBA"/>
    <w:rsid w:val="1A0C111B"/>
    <w:rsid w:val="1A6B4094"/>
    <w:rsid w:val="1A950107"/>
    <w:rsid w:val="1A9F5AEC"/>
    <w:rsid w:val="1AA2382E"/>
    <w:rsid w:val="1AA90718"/>
    <w:rsid w:val="1AE43477"/>
    <w:rsid w:val="1B10465A"/>
    <w:rsid w:val="1B562BF8"/>
    <w:rsid w:val="1B9C0111"/>
    <w:rsid w:val="1BEF7DEC"/>
    <w:rsid w:val="1C08246D"/>
    <w:rsid w:val="1C362480"/>
    <w:rsid w:val="1CD87093"/>
    <w:rsid w:val="1D3D339A"/>
    <w:rsid w:val="1D3F415D"/>
    <w:rsid w:val="1D84052E"/>
    <w:rsid w:val="1D993179"/>
    <w:rsid w:val="1D9A7F22"/>
    <w:rsid w:val="1DA90A2F"/>
    <w:rsid w:val="1DE76E33"/>
    <w:rsid w:val="1E2834BA"/>
    <w:rsid w:val="1E6100B4"/>
    <w:rsid w:val="1E731769"/>
    <w:rsid w:val="1EA341EB"/>
    <w:rsid w:val="1EAF1567"/>
    <w:rsid w:val="1EBC3110"/>
    <w:rsid w:val="1F0431B5"/>
    <w:rsid w:val="1F4B4A6C"/>
    <w:rsid w:val="1F943250"/>
    <w:rsid w:val="20366416"/>
    <w:rsid w:val="213357CA"/>
    <w:rsid w:val="219537A4"/>
    <w:rsid w:val="21AB746C"/>
    <w:rsid w:val="2255795E"/>
    <w:rsid w:val="22631529"/>
    <w:rsid w:val="228038E6"/>
    <w:rsid w:val="229C0B63"/>
    <w:rsid w:val="232C1E94"/>
    <w:rsid w:val="233F044D"/>
    <w:rsid w:val="234F0A56"/>
    <w:rsid w:val="23533917"/>
    <w:rsid w:val="237C18CA"/>
    <w:rsid w:val="2403533D"/>
    <w:rsid w:val="24547F34"/>
    <w:rsid w:val="245D5B02"/>
    <w:rsid w:val="24634353"/>
    <w:rsid w:val="25FE27A5"/>
    <w:rsid w:val="262A4E03"/>
    <w:rsid w:val="2662377F"/>
    <w:rsid w:val="2681079B"/>
    <w:rsid w:val="26BB3CAD"/>
    <w:rsid w:val="26CF7B52"/>
    <w:rsid w:val="272730F1"/>
    <w:rsid w:val="27732A60"/>
    <w:rsid w:val="27B2761D"/>
    <w:rsid w:val="27D17500"/>
    <w:rsid w:val="27F51441"/>
    <w:rsid w:val="2802590C"/>
    <w:rsid w:val="28243107"/>
    <w:rsid w:val="285E1FFC"/>
    <w:rsid w:val="28E204B8"/>
    <w:rsid w:val="29003BF9"/>
    <w:rsid w:val="291853E7"/>
    <w:rsid w:val="297A08FF"/>
    <w:rsid w:val="298760C9"/>
    <w:rsid w:val="29EE6148"/>
    <w:rsid w:val="2A1060BE"/>
    <w:rsid w:val="2A336250"/>
    <w:rsid w:val="2A401DBF"/>
    <w:rsid w:val="2A6729B3"/>
    <w:rsid w:val="2AAE4D9D"/>
    <w:rsid w:val="2AD21972"/>
    <w:rsid w:val="2AD6263E"/>
    <w:rsid w:val="2B0379D1"/>
    <w:rsid w:val="2B2706DC"/>
    <w:rsid w:val="2B9B7DAA"/>
    <w:rsid w:val="2C1A76C8"/>
    <w:rsid w:val="2CB44E2A"/>
    <w:rsid w:val="2D2F5C1C"/>
    <w:rsid w:val="2D383B46"/>
    <w:rsid w:val="2D3B5B48"/>
    <w:rsid w:val="2D643F52"/>
    <w:rsid w:val="2D6D31F3"/>
    <w:rsid w:val="2E383E35"/>
    <w:rsid w:val="2EB1301B"/>
    <w:rsid w:val="2ECB2EFB"/>
    <w:rsid w:val="2F261232"/>
    <w:rsid w:val="2F6F3887"/>
    <w:rsid w:val="2FC03CB8"/>
    <w:rsid w:val="306906FB"/>
    <w:rsid w:val="30DD0CC4"/>
    <w:rsid w:val="31580A99"/>
    <w:rsid w:val="31A218AC"/>
    <w:rsid w:val="31A82E22"/>
    <w:rsid w:val="327A4528"/>
    <w:rsid w:val="32E92D40"/>
    <w:rsid w:val="330C149E"/>
    <w:rsid w:val="33107636"/>
    <w:rsid w:val="33461566"/>
    <w:rsid w:val="33615BDC"/>
    <w:rsid w:val="33997124"/>
    <w:rsid w:val="349124F1"/>
    <w:rsid w:val="34AC78AD"/>
    <w:rsid w:val="34C22323"/>
    <w:rsid w:val="353510CF"/>
    <w:rsid w:val="35926521"/>
    <w:rsid w:val="36341386"/>
    <w:rsid w:val="36C02C1A"/>
    <w:rsid w:val="37051A7A"/>
    <w:rsid w:val="37113155"/>
    <w:rsid w:val="376676D8"/>
    <w:rsid w:val="37E868CC"/>
    <w:rsid w:val="3818307B"/>
    <w:rsid w:val="383438BF"/>
    <w:rsid w:val="38912AC0"/>
    <w:rsid w:val="38AE5AF0"/>
    <w:rsid w:val="39221AA1"/>
    <w:rsid w:val="393B0C7E"/>
    <w:rsid w:val="3960611D"/>
    <w:rsid w:val="39663F4D"/>
    <w:rsid w:val="39AE76A2"/>
    <w:rsid w:val="3A013E94"/>
    <w:rsid w:val="3A402D29"/>
    <w:rsid w:val="3A4678DA"/>
    <w:rsid w:val="3A483652"/>
    <w:rsid w:val="3A666A12"/>
    <w:rsid w:val="3AAE11A2"/>
    <w:rsid w:val="3B223EA3"/>
    <w:rsid w:val="3B6A75F8"/>
    <w:rsid w:val="3B8254A0"/>
    <w:rsid w:val="3B984165"/>
    <w:rsid w:val="3BA25B9F"/>
    <w:rsid w:val="3C28373B"/>
    <w:rsid w:val="3C2A5D72"/>
    <w:rsid w:val="3C4830F5"/>
    <w:rsid w:val="3C6516C0"/>
    <w:rsid w:val="3C951AAB"/>
    <w:rsid w:val="3CD40675"/>
    <w:rsid w:val="3CE32E1C"/>
    <w:rsid w:val="3D3166FE"/>
    <w:rsid w:val="3D333A9E"/>
    <w:rsid w:val="3D483712"/>
    <w:rsid w:val="3D600CB3"/>
    <w:rsid w:val="3DB34515"/>
    <w:rsid w:val="3E4A516B"/>
    <w:rsid w:val="3E745F58"/>
    <w:rsid w:val="3E9C4F8E"/>
    <w:rsid w:val="3EA87F5B"/>
    <w:rsid w:val="3EB3436B"/>
    <w:rsid w:val="3ECB1A67"/>
    <w:rsid w:val="3ECE06BD"/>
    <w:rsid w:val="3ED2798E"/>
    <w:rsid w:val="3F133D58"/>
    <w:rsid w:val="3F3C55B6"/>
    <w:rsid w:val="3F43263A"/>
    <w:rsid w:val="3F941C5C"/>
    <w:rsid w:val="40130DC7"/>
    <w:rsid w:val="403E2586"/>
    <w:rsid w:val="408829FA"/>
    <w:rsid w:val="4134048C"/>
    <w:rsid w:val="41BB295C"/>
    <w:rsid w:val="423B3A9C"/>
    <w:rsid w:val="42556DB5"/>
    <w:rsid w:val="42A97A1B"/>
    <w:rsid w:val="43366565"/>
    <w:rsid w:val="4377255C"/>
    <w:rsid w:val="43D76DDC"/>
    <w:rsid w:val="43DE2931"/>
    <w:rsid w:val="43E53949"/>
    <w:rsid w:val="44380CC6"/>
    <w:rsid w:val="444A008B"/>
    <w:rsid w:val="446672AC"/>
    <w:rsid w:val="446E63AB"/>
    <w:rsid w:val="448160DE"/>
    <w:rsid w:val="451851EA"/>
    <w:rsid w:val="45C66A22"/>
    <w:rsid w:val="45F83172"/>
    <w:rsid w:val="45F91CA4"/>
    <w:rsid w:val="466C691A"/>
    <w:rsid w:val="46741E5B"/>
    <w:rsid w:val="46A75BA4"/>
    <w:rsid w:val="4739179E"/>
    <w:rsid w:val="478415D1"/>
    <w:rsid w:val="479042B7"/>
    <w:rsid w:val="47CE4DAE"/>
    <w:rsid w:val="47EF335F"/>
    <w:rsid w:val="482254E2"/>
    <w:rsid w:val="487D4DCB"/>
    <w:rsid w:val="48B12D0A"/>
    <w:rsid w:val="493B372B"/>
    <w:rsid w:val="4955399A"/>
    <w:rsid w:val="4A064990"/>
    <w:rsid w:val="4A0749E0"/>
    <w:rsid w:val="4A2358F9"/>
    <w:rsid w:val="4A873D23"/>
    <w:rsid w:val="4BD73B50"/>
    <w:rsid w:val="4BE56F53"/>
    <w:rsid w:val="4BE64A79"/>
    <w:rsid w:val="4C7A7CEB"/>
    <w:rsid w:val="4CF94F81"/>
    <w:rsid w:val="4D135D42"/>
    <w:rsid w:val="4D714557"/>
    <w:rsid w:val="4D970721"/>
    <w:rsid w:val="4DEF230B"/>
    <w:rsid w:val="4E26697B"/>
    <w:rsid w:val="4E4D7031"/>
    <w:rsid w:val="4E7B697A"/>
    <w:rsid w:val="4E7D7917"/>
    <w:rsid w:val="4E802D5E"/>
    <w:rsid w:val="4EA330F5"/>
    <w:rsid w:val="4EC76DE4"/>
    <w:rsid w:val="4ED43DC5"/>
    <w:rsid w:val="4EDF237F"/>
    <w:rsid w:val="4EF61477"/>
    <w:rsid w:val="4F8868CE"/>
    <w:rsid w:val="4FF94F5E"/>
    <w:rsid w:val="50263663"/>
    <w:rsid w:val="507E096A"/>
    <w:rsid w:val="50847C02"/>
    <w:rsid w:val="509F4E0D"/>
    <w:rsid w:val="512C2F2E"/>
    <w:rsid w:val="51730B5D"/>
    <w:rsid w:val="51B02CB4"/>
    <w:rsid w:val="51B20534"/>
    <w:rsid w:val="521A5029"/>
    <w:rsid w:val="526D7CA2"/>
    <w:rsid w:val="52AF2069"/>
    <w:rsid w:val="532C190B"/>
    <w:rsid w:val="533D1D03"/>
    <w:rsid w:val="535C09BE"/>
    <w:rsid w:val="5391176E"/>
    <w:rsid w:val="53917463"/>
    <w:rsid w:val="54BB10C9"/>
    <w:rsid w:val="5503669C"/>
    <w:rsid w:val="551408A9"/>
    <w:rsid w:val="558158C5"/>
    <w:rsid w:val="55E4027B"/>
    <w:rsid w:val="55EE10FA"/>
    <w:rsid w:val="55F87603"/>
    <w:rsid w:val="56D15BC0"/>
    <w:rsid w:val="56D54068"/>
    <w:rsid w:val="57994035"/>
    <w:rsid w:val="57DC49D1"/>
    <w:rsid w:val="57FD73D2"/>
    <w:rsid w:val="580469B3"/>
    <w:rsid w:val="58374DAF"/>
    <w:rsid w:val="58700E82"/>
    <w:rsid w:val="58E467E4"/>
    <w:rsid w:val="591C4107"/>
    <w:rsid w:val="59266DFD"/>
    <w:rsid w:val="59413C0E"/>
    <w:rsid w:val="59875AED"/>
    <w:rsid w:val="59EA068D"/>
    <w:rsid w:val="59FB2037"/>
    <w:rsid w:val="5A2F3A8F"/>
    <w:rsid w:val="5AF44976"/>
    <w:rsid w:val="5B274E10"/>
    <w:rsid w:val="5B286E5C"/>
    <w:rsid w:val="5B6D0D13"/>
    <w:rsid w:val="5B8877F7"/>
    <w:rsid w:val="5C2F421A"/>
    <w:rsid w:val="5C8C0871"/>
    <w:rsid w:val="5CA92016"/>
    <w:rsid w:val="5CE648D9"/>
    <w:rsid w:val="5D1222A5"/>
    <w:rsid w:val="5E553B77"/>
    <w:rsid w:val="5E5955D6"/>
    <w:rsid w:val="5E856373"/>
    <w:rsid w:val="5F0B6879"/>
    <w:rsid w:val="5F1C0A86"/>
    <w:rsid w:val="5F7268F8"/>
    <w:rsid w:val="5FD07328"/>
    <w:rsid w:val="5FED2C98"/>
    <w:rsid w:val="600D654D"/>
    <w:rsid w:val="6025396A"/>
    <w:rsid w:val="6065736A"/>
    <w:rsid w:val="607E4B0D"/>
    <w:rsid w:val="60A47158"/>
    <w:rsid w:val="60F5158E"/>
    <w:rsid w:val="61131A15"/>
    <w:rsid w:val="616A1832"/>
    <w:rsid w:val="61BA5B6C"/>
    <w:rsid w:val="61F25ACE"/>
    <w:rsid w:val="626D33A6"/>
    <w:rsid w:val="62B43486"/>
    <w:rsid w:val="6388493C"/>
    <w:rsid w:val="638C4E9F"/>
    <w:rsid w:val="63B374DF"/>
    <w:rsid w:val="6470717E"/>
    <w:rsid w:val="649D5592"/>
    <w:rsid w:val="651A7135"/>
    <w:rsid w:val="655D35E0"/>
    <w:rsid w:val="65743A6E"/>
    <w:rsid w:val="65C33051"/>
    <w:rsid w:val="65DE2048"/>
    <w:rsid w:val="66E10831"/>
    <w:rsid w:val="66E9411C"/>
    <w:rsid w:val="67297ED0"/>
    <w:rsid w:val="67B35CFF"/>
    <w:rsid w:val="67CB566B"/>
    <w:rsid w:val="67DF6AF4"/>
    <w:rsid w:val="68EF7605"/>
    <w:rsid w:val="693178E7"/>
    <w:rsid w:val="696848C8"/>
    <w:rsid w:val="69881806"/>
    <w:rsid w:val="69B1626F"/>
    <w:rsid w:val="69F0323B"/>
    <w:rsid w:val="6A1D3904"/>
    <w:rsid w:val="6A356EA0"/>
    <w:rsid w:val="6A5A63E0"/>
    <w:rsid w:val="6A5C442C"/>
    <w:rsid w:val="6A5D5C59"/>
    <w:rsid w:val="6A5F78C6"/>
    <w:rsid w:val="6BE70117"/>
    <w:rsid w:val="6CA42DA0"/>
    <w:rsid w:val="6CC17913"/>
    <w:rsid w:val="6D147240"/>
    <w:rsid w:val="6D615622"/>
    <w:rsid w:val="6DCD73EF"/>
    <w:rsid w:val="6E1E31B0"/>
    <w:rsid w:val="6E3720C5"/>
    <w:rsid w:val="6F912DCA"/>
    <w:rsid w:val="6F9E2691"/>
    <w:rsid w:val="6FB40867"/>
    <w:rsid w:val="7060454A"/>
    <w:rsid w:val="70866FE2"/>
    <w:rsid w:val="70BD374B"/>
    <w:rsid w:val="70C82145"/>
    <w:rsid w:val="712832BA"/>
    <w:rsid w:val="7133364D"/>
    <w:rsid w:val="714670CB"/>
    <w:rsid w:val="71671647"/>
    <w:rsid w:val="7182595A"/>
    <w:rsid w:val="720B77DF"/>
    <w:rsid w:val="72161365"/>
    <w:rsid w:val="724E4FA2"/>
    <w:rsid w:val="727953A0"/>
    <w:rsid w:val="737F4239"/>
    <w:rsid w:val="73AC6367"/>
    <w:rsid w:val="73D56FFD"/>
    <w:rsid w:val="7438465F"/>
    <w:rsid w:val="74651606"/>
    <w:rsid w:val="74CA05A1"/>
    <w:rsid w:val="75053824"/>
    <w:rsid w:val="75383B7F"/>
    <w:rsid w:val="75FC6AC3"/>
    <w:rsid w:val="76832D41"/>
    <w:rsid w:val="769F5F71"/>
    <w:rsid w:val="77065E4C"/>
    <w:rsid w:val="771E131C"/>
    <w:rsid w:val="773C1C0D"/>
    <w:rsid w:val="778407C2"/>
    <w:rsid w:val="77A60210"/>
    <w:rsid w:val="78025551"/>
    <w:rsid w:val="78401713"/>
    <w:rsid w:val="789E7CAE"/>
    <w:rsid w:val="78AF2513"/>
    <w:rsid w:val="79335EF0"/>
    <w:rsid w:val="7953020F"/>
    <w:rsid w:val="796706F8"/>
    <w:rsid w:val="79907C4E"/>
    <w:rsid w:val="799A0ACD"/>
    <w:rsid w:val="7A0F3269"/>
    <w:rsid w:val="7A4C0DB1"/>
    <w:rsid w:val="7A5C5881"/>
    <w:rsid w:val="7AAF67FA"/>
    <w:rsid w:val="7B267D49"/>
    <w:rsid w:val="7B9B28DB"/>
    <w:rsid w:val="7B9F23CB"/>
    <w:rsid w:val="7BE02706"/>
    <w:rsid w:val="7CA26617"/>
    <w:rsid w:val="7CEF2EDE"/>
    <w:rsid w:val="7D292894"/>
    <w:rsid w:val="7D494CE4"/>
    <w:rsid w:val="7D886F1B"/>
    <w:rsid w:val="7D9526B9"/>
    <w:rsid w:val="7DA907B5"/>
    <w:rsid w:val="7DF76419"/>
    <w:rsid w:val="7E0E7F94"/>
    <w:rsid w:val="7E470AF8"/>
    <w:rsid w:val="7E7A31C9"/>
    <w:rsid w:val="7EBC7738"/>
    <w:rsid w:val="7EEB1C01"/>
    <w:rsid w:val="7EFC18E2"/>
    <w:rsid w:val="7FBE4DEA"/>
    <w:rsid w:val="7FE67798"/>
    <w:rsid w:val="7FF44F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35"/>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8"/>
    <w:autoRedefine/>
    <w:unhideWhenUsed/>
    <w:qFormat/>
    <w:uiPriority w:val="0"/>
    <w:pPr>
      <w:keepNext/>
      <w:keepLines/>
      <w:spacing w:before="260" w:after="260" w:line="416" w:lineRule="auto"/>
      <w:jc w:val="center"/>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0"/>
    <w:pPr>
      <w:keepNext/>
      <w:keepLines/>
      <w:spacing w:before="140" w:after="140" w:line="360" w:lineRule="auto"/>
      <w:outlineLvl w:val="2"/>
    </w:pPr>
    <w:rPr>
      <w:b/>
      <w:sz w:val="32"/>
    </w:rPr>
  </w:style>
  <w:style w:type="paragraph" w:styleId="5">
    <w:name w:val="heading 4"/>
    <w:basedOn w:val="1"/>
    <w:next w:val="1"/>
    <w:unhideWhenUsed/>
    <w:qFormat/>
    <w:uiPriority w:val="0"/>
    <w:pPr>
      <w:spacing w:beforeAutospacing="1" w:afterAutospacing="1"/>
      <w:jc w:val="left"/>
      <w:outlineLvl w:val="3"/>
    </w:pPr>
    <w:rPr>
      <w:rFonts w:hint="eastAsia" w:ascii="宋体" w:hAnsi="宋体"/>
      <w:b/>
      <w:bCs/>
      <w:kern w:val="0"/>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index 8"/>
    <w:basedOn w:val="1"/>
    <w:next w:val="1"/>
    <w:autoRedefine/>
    <w:unhideWhenUsed/>
    <w:qFormat/>
    <w:uiPriority w:val="99"/>
    <w:pPr>
      <w:spacing w:line="276" w:lineRule="auto"/>
      <w:jc w:val="left"/>
    </w:pPr>
    <w:rPr>
      <w:rFonts w:ascii="宋体" w:hAnsi="宋体"/>
      <w:color w:val="FF0000"/>
      <w:szCs w:val="21"/>
    </w:rPr>
  </w:style>
  <w:style w:type="paragraph" w:styleId="7">
    <w:name w:val="Normal Indent"/>
    <w:basedOn w:val="1"/>
    <w:next w:val="1"/>
    <w:unhideWhenUsed/>
    <w:qFormat/>
    <w:uiPriority w:val="0"/>
    <w:pPr>
      <w:ind w:firstLine="420" w:firstLineChars="200"/>
    </w:pPr>
    <w:rPr>
      <w:rFonts w:ascii="Times New Roman"/>
      <w:sz w:val="20"/>
    </w:rPr>
  </w:style>
  <w:style w:type="paragraph" w:styleId="8">
    <w:name w:val="annotation text"/>
    <w:basedOn w:val="1"/>
    <w:link w:val="32"/>
    <w:autoRedefine/>
    <w:qFormat/>
    <w:uiPriority w:val="0"/>
    <w:pPr>
      <w:jc w:val="left"/>
    </w:pPr>
    <w:rPr>
      <w:rFonts w:ascii="Times New Roman" w:hAnsi="Times New Roman"/>
    </w:rPr>
  </w:style>
  <w:style w:type="paragraph" w:styleId="9">
    <w:name w:val="Body Text"/>
    <w:basedOn w:val="1"/>
    <w:next w:val="10"/>
    <w:link w:val="40"/>
    <w:autoRedefine/>
    <w:qFormat/>
    <w:uiPriority w:val="99"/>
    <w:pPr>
      <w:spacing w:after="120"/>
    </w:pPr>
    <w:rPr>
      <w:rFonts w:ascii="Times New Roman" w:hAnsi="Times New Roman"/>
    </w:rPr>
  </w:style>
  <w:style w:type="paragraph" w:styleId="10">
    <w:name w:val="Body Text First Indent"/>
    <w:basedOn w:val="9"/>
    <w:next w:val="11"/>
    <w:autoRedefine/>
    <w:qFormat/>
    <w:uiPriority w:val="0"/>
    <w:pPr>
      <w:ind w:firstLine="420" w:firstLineChars="100"/>
    </w:pPr>
  </w:style>
  <w:style w:type="paragraph" w:customStyle="1" w:styleId="11">
    <w:name w:val="段落正文"/>
    <w:basedOn w:val="1"/>
    <w:autoRedefine/>
    <w:qFormat/>
    <w:uiPriority w:val="0"/>
    <w:pPr>
      <w:spacing w:before="50" w:beforeLines="50" w:line="360" w:lineRule="auto"/>
      <w:ind w:firstLine="200" w:firstLineChars="200"/>
    </w:pPr>
    <w:rPr>
      <w:spacing w:val="2"/>
      <w:sz w:val="24"/>
      <w:szCs w:val="20"/>
    </w:rPr>
  </w:style>
  <w:style w:type="paragraph" w:styleId="12">
    <w:name w:val="Body Text Indent"/>
    <w:basedOn w:val="1"/>
    <w:autoRedefine/>
    <w:qFormat/>
    <w:uiPriority w:val="0"/>
    <w:pPr>
      <w:ind w:firstLine="568" w:firstLineChars="203"/>
    </w:pPr>
    <w:rPr>
      <w:sz w:val="28"/>
    </w:rPr>
  </w:style>
  <w:style w:type="paragraph" w:styleId="13">
    <w:name w:val="toc 3"/>
    <w:basedOn w:val="1"/>
    <w:next w:val="1"/>
    <w:autoRedefine/>
    <w:qFormat/>
    <w:uiPriority w:val="39"/>
    <w:pPr>
      <w:ind w:left="840" w:leftChars="400"/>
    </w:pPr>
  </w:style>
  <w:style w:type="paragraph" w:styleId="14">
    <w:name w:val="Plain Text"/>
    <w:basedOn w:val="1"/>
    <w:link w:val="36"/>
    <w:autoRedefine/>
    <w:qFormat/>
    <w:uiPriority w:val="0"/>
    <w:rPr>
      <w:rFonts w:ascii="宋体" w:hAnsi="Courier New"/>
    </w:rPr>
  </w:style>
  <w:style w:type="paragraph" w:styleId="15">
    <w:name w:val="Body Text Indent 2"/>
    <w:basedOn w:val="1"/>
    <w:link w:val="52"/>
    <w:autoRedefine/>
    <w:semiHidden/>
    <w:unhideWhenUsed/>
    <w:qFormat/>
    <w:uiPriority w:val="0"/>
    <w:pPr>
      <w:spacing w:after="120" w:line="480" w:lineRule="auto"/>
      <w:ind w:left="420" w:leftChars="200"/>
    </w:pPr>
  </w:style>
  <w:style w:type="paragraph" w:styleId="16">
    <w:name w:val="Balloon Text"/>
    <w:basedOn w:val="1"/>
    <w:link w:val="33"/>
    <w:autoRedefine/>
    <w:qFormat/>
    <w:uiPriority w:val="0"/>
    <w:rPr>
      <w:sz w:val="18"/>
      <w:szCs w:val="18"/>
    </w:rPr>
  </w:style>
  <w:style w:type="paragraph" w:styleId="17">
    <w:name w:val="footer"/>
    <w:basedOn w:val="1"/>
    <w:link w:val="30"/>
    <w:autoRedefine/>
    <w:qFormat/>
    <w:uiPriority w:val="99"/>
    <w:pPr>
      <w:tabs>
        <w:tab w:val="center" w:pos="4153"/>
        <w:tab w:val="right" w:pos="8306"/>
      </w:tabs>
      <w:snapToGrid w:val="0"/>
      <w:jc w:val="left"/>
    </w:pPr>
    <w:rPr>
      <w:sz w:val="18"/>
    </w:rPr>
  </w:style>
  <w:style w:type="paragraph" w:styleId="1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9">
    <w:name w:val="toc 1"/>
    <w:basedOn w:val="1"/>
    <w:next w:val="1"/>
    <w:autoRedefine/>
    <w:unhideWhenUsed/>
    <w:qFormat/>
    <w:uiPriority w:val="39"/>
  </w:style>
  <w:style w:type="paragraph" w:styleId="20">
    <w:name w:val="toc 2"/>
    <w:basedOn w:val="1"/>
    <w:next w:val="1"/>
    <w:autoRedefine/>
    <w:semiHidden/>
    <w:unhideWhenUsed/>
    <w:qFormat/>
    <w:uiPriority w:val="0"/>
    <w:pPr>
      <w:ind w:left="420" w:leftChars="200"/>
    </w:pPr>
  </w:style>
  <w:style w:type="paragraph" w:styleId="21">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22">
    <w:name w:val="Title"/>
    <w:basedOn w:val="1"/>
    <w:link w:val="42"/>
    <w:autoRedefine/>
    <w:qFormat/>
    <w:uiPriority w:val="0"/>
    <w:pPr>
      <w:spacing w:before="240" w:after="60"/>
      <w:jc w:val="center"/>
      <w:outlineLvl w:val="0"/>
    </w:pPr>
    <w:rPr>
      <w:rFonts w:asciiTheme="majorHAnsi" w:hAnsiTheme="majorHAnsi" w:cstheme="majorBidi"/>
      <w:b/>
      <w:bCs/>
      <w:sz w:val="32"/>
      <w:szCs w:val="32"/>
    </w:rPr>
  </w:style>
  <w:style w:type="table" w:styleId="24">
    <w:name w:val="Table Grid"/>
    <w:basedOn w:val="2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autoRedefine/>
    <w:qFormat/>
    <w:uiPriority w:val="22"/>
    <w:rPr>
      <w:b/>
      <w:bCs/>
    </w:rPr>
  </w:style>
  <w:style w:type="character" w:styleId="27">
    <w:name w:val="Hyperlink"/>
    <w:basedOn w:val="25"/>
    <w:autoRedefine/>
    <w:unhideWhenUsed/>
    <w:qFormat/>
    <w:uiPriority w:val="99"/>
    <w:rPr>
      <w:color w:val="0000FF" w:themeColor="hyperlink"/>
      <w:u w:val="single"/>
      <w14:textFill>
        <w14:solidFill>
          <w14:schemeClr w14:val="hlink"/>
        </w14:solidFill>
      </w14:textFill>
    </w:rPr>
  </w:style>
  <w:style w:type="character" w:styleId="28">
    <w:name w:val="annotation reference"/>
    <w:basedOn w:val="25"/>
    <w:autoRedefine/>
    <w:qFormat/>
    <w:uiPriority w:val="0"/>
    <w:rPr>
      <w:sz w:val="21"/>
      <w:szCs w:val="21"/>
    </w:rPr>
  </w:style>
  <w:style w:type="paragraph" w:styleId="29">
    <w:name w:val="Quote"/>
    <w:basedOn w:val="1"/>
    <w:next w:val="1"/>
    <w:link w:val="41"/>
    <w:autoRedefine/>
    <w:semiHidden/>
    <w:unhideWhenUsed/>
    <w:qFormat/>
    <w:uiPriority w:val="99"/>
    <w:rPr>
      <w:i/>
      <w:iCs/>
      <w:color w:val="000000" w:themeColor="text1"/>
      <w14:textFill>
        <w14:solidFill>
          <w14:schemeClr w14:val="tx1"/>
        </w14:solidFill>
      </w14:textFill>
    </w:rPr>
  </w:style>
  <w:style w:type="character" w:customStyle="1" w:styleId="30">
    <w:name w:val="页脚 Char"/>
    <w:link w:val="17"/>
    <w:autoRedefine/>
    <w:qFormat/>
    <w:uiPriority w:val="99"/>
    <w:rPr>
      <w:kern w:val="2"/>
      <w:sz w:val="18"/>
      <w:szCs w:val="24"/>
    </w:rPr>
  </w:style>
  <w:style w:type="paragraph" w:customStyle="1" w:styleId="31">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32">
    <w:name w:val="批注文字 Char"/>
    <w:basedOn w:val="25"/>
    <w:link w:val="8"/>
    <w:autoRedefine/>
    <w:qFormat/>
    <w:uiPriority w:val="0"/>
    <w:rPr>
      <w:rFonts w:ascii="Times New Roman" w:hAnsi="Times New Roman"/>
      <w:kern w:val="2"/>
      <w:sz w:val="21"/>
      <w:szCs w:val="24"/>
    </w:rPr>
  </w:style>
  <w:style w:type="character" w:customStyle="1" w:styleId="33">
    <w:name w:val="批注框文本 Char"/>
    <w:basedOn w:val="25"/>
    <w:link w:val="16"/>
    <w:autoRedefine/>
    <w:qFormat/>
    <w:uiPriority w:val="0"/>
    <w:rPr>
      <w:kern w:val="2"/>
      <w:sz w:val="18"/>
      <w:szCs w:val="18"/>
    </w:rPr>
  </w:style>
  <w:style w:type="character" w:customStyle="1" w:styleId="34">
    <w:name w:val="apple-converted-space"/>
    <w:basedOn w:val="25"/>
    <w:autoRedefine/>
    <w:qFormat/>
    <w:uiPriority w:val="0"/>
  </w:style>
  <w:style w:type="character" w:customStyle="1" w:styleId="35">
    <w:name w:val="标题 1 Char"/>
    <w:basedOn w:val="25"/>
    <w:link w:val="2"/>
    <w:autoRedefine/>
    <w:qFormat/>
    <w:uiPriority w:val="0"/>
    <w:rPr>
      <w:b/>
      <w:bCs/>
      <w:kern w:val="44"/>
      <w:sz w:val="44"/>
      <w:szCs w:val="44"/>
    </w:rPr>
  </w:style>
  <w:style w:type="character" w:customStyle="1" w:styleId="36">
    <w:name w:val="纯文本 Char"/>
    <w:basedOn w:val="25"/>
    <w:link w:val="14"/>
    <w:autoRedefine/>
    <w:qFormat/>
    <w:uiPriority w:val="0"/>
    <w:rPr>
      <w:rFonts w:ascii="宋体" w:hAnsi="Courier New"/>
      <w:kern w:val="2"/>
      <w:sz w:val="21"/>
      <w:szCs w:val="24"/>
    </w:rPr>
  </w:style>
  <w:style w:type="paragraph" w:customStyle="1" w:styleId="37">
    <w:name w:val="_Style 2"/>
    <w:basedOn w:val="1"/>
    <w:autoRedefine/>
    <w:qFormat/>
    <w:uiPriority w:val="0"/>
    <w:pPr>
      <w:ind w:firstLine="420" w:firstLineChars="200"/>
    </w:pPr>
    <w:rPr>
      <w:sz w:val="18"/>
      <w:szCs w:val="18"/>
    </w:rPr>
  </w:style>
  <w:style w:type="paragraph" w:customStyle="1" w:styleId="38">
    <w:name w:val="样式 首行缩进:  2 字符"/>
    <w:basedOn w:val="1"/>
    <w:autoRedefine/>
    <w:qFormat/>
    <w:uiPriority w:val="0"/>
    <w:pPr>
      <w:spacing w:line="400" w:lineRule="exact"/>
      <w:ind w:firstLine="200" w:firstLineChars="200"/>
    </w:pPr>
    <w:rPr>
      <w:rFonts w:cs="宋体"/>
      <w:sz w:val="24"/>
    </w:rPr>
  </w:style>
  <w:style w:type="paragraph" w:styleId="39">
    <w:name w:val="List Paragraph"/>
    <w:basedOn w:val="1"/>
    <w:autoRedefine/>
    <w:unhideWhenUsed/>
    <w:qFormat/>
    <w:uiPriority w:val="1"/>
    <w:pPr>
      <w:ind w:firstLine="420" w:firstLineChars="200"/>
    </w:pPr>
  </w:style>
  <w:style w:type="character" w:customStyle="1" w:styleId="40">
    <w:name w:val="正文文本 Char"/>
    <w:basedOn w:val="25"/>
    <w:link w:val="9"/>
    <w:autoRedefine/>
    <w:qFormat/>
    <w:uiPriority w:val="99"/>
    <w:rPr>
      <w:rFonts w:ascii="Times New Roman" w:hAnsi="Times New Roman"/>
      <w:kern w:val="2"/>
      <w:sz w:val="21"/>
      <w:szCs w:val="24"/>
    </w:rPr>
  </w:style>
  <w:style w:type="character" w:customStyle="1" w:styleId="41">
    <w:name w:val="引用 Char"/>
    <w:basedOn w:val="25"/>
    <w:link w:val="29"/>
    <w:autoRedefine/>
    <w:semiHidden/>
    <w:qFormat/>
    <w:uiPriority w:val="99"/>
    <w:rPr>
      <w:i/>
      <w:iCs/>
      <w:color w:val="000000" w:themeColor="text1"/>
      <w:kern w:val="2"/>
      <w:sz w:val="21"/>
      <w:szCs w:val="24"/>
      <w14:textFill>
        <w14:solidFill>
          <w14:schemeClr w14:val="tx1"/>
        </w14:solidFill>
      </w14:textFill>
    </w:rPr>
  </w:style>
  <w:style w:type="character" w:customStyle="1" w:styleId="42">
    <w:name w:val="标题 Char"/>
    <w:basedOn w:val="25"/>
    <w:link w:val="22"/>
    <w:autoRedefine/>
    <w:qFormat/>
    <w:uiPriority w:val="0"/>
    <w:rPr>
      <w:rFonts w:asciiTheme="majorHAnsi" w:hAnsiTheme="majorHAnsi" w:cstheme="majorBidi"/>
      <w:b/>
      <w:bCs/>
      <w:kern w:val="2"/>
      <w:sz w:val="32"/>
      <w:szCs w:val="32"/>
    </w:rPr>
  </w:style>
  <w:style w:type="paragraph" w:customStyle="1" w:styleId="43">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4">
    <w:name w:val="WPSOffice手动目录 1"/>
    <w:autoRedefine/>
    <w:qFormat/>
    <w:uiPriority w:val="0"/>
    <w:rPr>
      <w:rFonts w:ascii="Calibri" w:hAnsi="Calibri" w:eastAsia="宋体" w:cs="Times New Roman"/>
      <w:lang w:val="en-US" w:eastAsia="zh-CN" w:bidi="ar-SA"/>
    </w:rPr>
  </w:style>
  <w:style w:type="paragraph" w:customStyle="1" w:styleId="45">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6">
    <w:name w:val="Default"/>
    <w:link w:val="47"/>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7">
    <w:name w:val="Default Char"/>
    <w:link w:val="46"/>
    <w:autoRedefine/>
    <w:qFormat/>
    <w:uiPriority w:val="0"/>
    <w:rPr>
      <w:rFonts w:ascii="楷体à.ā" w:hAnsi="Times New Roman" w:eastAsia="楷体à.ā"/>
      <w:color w:val="000000"/>
      <w:sz w:val="24"/>
      <w:szCs w:val="22"/>
    </w:rPr>
  </w:style>
  <w:style w:type="character" w:customStyle="1" w:styleId="48">
    <w:name w:val="标题 2 Char"/>
    <w:basedOn w:val="25"/>
    <w:link w:val="3"/>
    <w:autoRedefine/>
    <w:qFormat/>
    <w:uiPriority w:val="0"/>
    <w:rPr>
      <w:rFonts w:asciiTheme="majorHAnsi" w:hAnsiTheme="majorHAnsi" w:eastAsiaTheme="majorEastAsia" w:cstheme="majorBidi"/>
      <w:b/>
      <w:bCs/>
      <w:kern w:val="2"/>
      <w:sz w:val="32"/>
      <w:szCs w:val="32"/>
    </w:rPr>
  </w:style>
  <w:style w:type="paragraph" w:customStyle="1" w:styleId="49">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50">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51">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52">
    <w:name w:val="正文文本缩进 2 Char"/>
    <w:basedOn w:val="25"/>
    <w:link w:val="15"/>
    <w:autoRedefine/>
    <w:semiHidden/>
    <w:qFormat/>
    <w:uiPriority w:val="0"/>
    <w:rPr>
      <w:kern w:val="2"/>
      <w:sz w:val="21"/>
      <w:szCs w:val="24"/>
    </w:rPr>
  </w:style>
  <w:style w:type="paragraph" w:customStyle="1" w:styleId="53">
    <w:name w:val="正文首行缩进两字符"/>
    <w:basedOn w:val="1"/>
    <w:autoRedefine/>
    <w:qFormat/>
    <w:uiPriority w:val="0"/>
    <w:pPr>
      <w:spacing w:line="360" w:lineRule="auto"/>
      <w:ind w:firstLine="200" w:firstLineChars="200"/>
    </w:pPr>
  </w:style>
  <w:style w:type="character" w:customStyle="1" w:styleId="54">
    <w:name w:val="NormalCharacter"/>
    <w:autoRedefine/>
    <w:semiHidden/>
    <w:qFormat/>
    <w:uiPriority w:val="0"/>
    <w:rPr>
      <w:rFonts w:ascii="宋体" w:hAnsi="宋体" w:eastAsia="宋体" w:cs="宋体"/>
      <w:sz w:val="22"/>
      <w:szCs w:val="22"/>
      <w:lang w:val="zh-CN" w:eastAsia="zh-CN" w:bidi="zh-CN"/>
    </w:rPr>
  </w:style>
  <w:style w:type="paragraph" w:customStyle="1" w:styleId="55">
    <w:name w:val="列出段落2"/>
    <w:basedOn w:val="1"/>
    <w:qFormat/>
    <w:uiPriority w:val="0"/>
    <w:pPr>
      <w:spacing w:line="360" w:lineRule="auto"/>
      <w:ind w:firstLine="420" w:firstLineChars="200"/>
    </w:pPr>
    <w:rPr>
      <w:rFonts w:ascii="Times New Roman" w:hAnsi="Times New Roman"/>
      <w:sz w:val="24"/>
    </w:rPr>
  </w:style>
  <w:style w:type="paragraph" w:customStyle="1" w:styleId="56">
    <w:name w:val="Table Text"/>
    <w:basedOn w:val="1"/>
    <w:semiHidden/>
    <w:qFormat/>
    <w:uiPriority w:val="0"/>
    <w:rPr>
      <w:rFonts w:ascii="宋体" w:hAnsi="宋体" w:eastAsia="宋体" w:cs="宋体"/>
      <w:sz w:val="24"/>
      <w:szCs w:val="24"/>
      <w:lang w:val="en-US" w:eastAsia="en-US" w:bidi="ar-SA"/>
    </w:rPr>
  </w:style>
  <w:style w:type="table" w:customStyle="1" w:styleId="5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41</Pages>
  <Words>6254</Words>
  <Characters>6370</Characters>
  <Lines>143</Lines>
  <Paragraphs>40</Paragraphs>
  <TotalTime>24</TotalTime>
  <ScaleCrop>false</ScaleCrop>
  <LinksUpToDate>false</LinksUpToDate>
  <CharactersWithSpaces>6461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2023-09-07T01:52:00Z</dcterms:created>
  <dc:creator>Administrator</dc:creator>
  <cp:lastModifiedBy>Administrator</cp:lastModifiedBy>
  <cp:lastPrinted>2024-10-31T01:04:00Z</cp:lastPrinted>
  <dcterms:modified xsi:type="dcterms:W3CDTF">2024-11-29T07:02:40Z</dcterms:modified>
  <cp:revision>290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7D2FC778C1814E52824EA131F477169E_13</vt:lpwstr>
  </property>
</Properties>
</file>