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D2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附件：</w:t>
      </w:r>
    </w:p>
    <w:p w14:paraId="6B9B8C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bookmarkStart w:id="0" w:name="_GoBack"/>
      <w:bookmarkEnd w:id="0"/>
    </w:p>
    <w:p w14:paraId="28FC4E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default" w:ascii="Times New Roman" w:hAnsi="Times New Roman" w:eastAsia="宋体" w:cs="Times New Roman"/>
          <w:i w:val="0"/>
          <w:iCs w:val="0"/>
          <w:caps w:val="0"/>
          <w:color w:val="000000"/>
          <w:spacing w:val="0"/>
          <w:sz w:val="36"/>
          <w:szCs w:val="36"/>
          <w:shd w:val="clear" w:fill="FFFFFF"/>
          <w:vertAlign w:val="baseline"/>
          <w:lang w:val="en-US" w:eastAsia="zh-CN"/>
        </w:rPr>
      </w:pPr>
      <w:r>
        <w:rPr>
          <w:rFonts w:hint="default" w:ascii="Times New Roman" w:hAnsi="Times New Roman" w:eastAsia="方正小标宋简体" w:cs="Times New Roman"/>
          <w:i w:val="0"/>
          <w:iCs w:val="0"/>
          <w:caps w:val="0"/>
          <w:color w:val="000000"/>
          <w:spacing w:val="0"/>
          <w:sz w:val="36"/>
          <w:szCs w:val="36"/>
          <w:shd w:val="clear" w:fill="FFFFFF"/>
          <w:lang w:val="en-US" w:eastAsia="zh-CN"/>
        </w:rPr>
        <w:t>万源市紧密型县域医共体能力提升建设项目专项债券咨询服务要求</w:t>
      </w:r>
    </w:p>
    <w:p w14:paraId="0A2870E1">
      <w:pPr>
        <w:pStyle w:val="10"/>
        <w:keepNext w:val="0"/>
        <w:keepLines w:val="0"/>
        <w:pageBreakBefore w:val="0"/>
        <w:numPr>
          <w:ilvl w:val="0"/>
          <w:numId w:val="0"/>
        </w:numPr>
        <w:kinsoku/>
        <w:wordWrap/>
        <w:overflowPunct/>
        <w:topLinePunct w:val="0"/>
        <w:bidi w:val="0"/>
        <w:snapToGrid/>
        <w:spacing w:line="578" w:lineRule="exact"/>
        <w:textAlignment w:val="auto"/>
        <w:rPr>
          <w:rFonts w:hint="default" w:ascii="Times New Roman" w:hAnsi="Times New Roman" w:eastAsia="仿宋" w:cs="Times New Roman"/>
          <w:color w:val="auto"/>
          <w:kern w:val="2"/>
          <w:szCs w:val="24"/>
          <w:highlight w:val="none"/>
        </w:rPr>
      </w:pPr>
    </w:p>
    <w:p w14:paraId="58AB8F69">
      <w:pPr>
        <w:pStyle w:val="10"/>
        <w:keepNext w:val="0"/>
        <w:keepLines w:val="0"/>
        <w:pageBreakBefore w:val="0"/>
        <w:numPr>
          <w:ilvl w:val="0"/>
          <w:numId w:val="0"/>
        </w:numPr>
        <w:kinsoku/>
        <w:wordWrap/>
        <w:overflowPunct/>
        <w:topLinePunct w:val="0"/>
        <w:bidi w:val="0"/>
        <w:snapToGrid/>
        <w:spacing w:line="578" w:lineRule="exact"/>
        <w:ind w:firstLine="643"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b/>
          <w:bCs/>
          <w:color w:val="auto"/>
          <w:kern w:val="2"/>
          <w:sz w:val="32"/>
          <w:szCs w:val="32"/>
          <w:highlight w:val="none"/>
          <w:lang w:eastAsia="zh-CN"/>
        </w:rPr>
        <w:t>1.</w:t>
      </w:r>
      <w:r>
        <w:rPr>
          <w:rFonts w:hint="default" w:ascii="Times New Roman" w:hAnsi="Times New Roman" w:eastAsia="方正仿宋简体" w:cs="Times New Roman"/>
          <w:b/>
          <w:bCs/>
          <w:color w:val="auto"/>
          <w:kern w:val="2"/>
          <w:sz w:val="32"/>
          <w:szCs w:val="32"/>
          <w:highlight w:val="none"/>
        </w:rPr>
        <w:t>罗列资料清单</w:t>
      </w:r>
    </w:p>
    <w:p w14:paraId="4DBC6E92">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rPr>
        <w:t>根据四川省财政厅有关项目收益专项债券实施方案的编写要求，罗列专项债券申请所需的资料清单。</w:t>
      </w:r>
    </w:p>
    <w:p w14:paraId="34F076CD">
      <w:pPr>
        <w:pStyle w:val="10"/>
        <w:keepNext w:val="0"/>
        <w:keepLines w:val="0"/>
        <w:pageBreakBefore w:val="0"/>
        <w:numPr>
          <w:ilvl w:val="0"/>
          <w:numId w:val="0"/>
        </w:numPr>
        <w:kinsoku/>
        <w:wordWrap/>
        <w:overflowPunct/>
        <w:topLinePunct w:val="0"/>
        <w:bidi w:val="0"/>
        <w:snapToGrid/>
        <w:spacing w:line="578"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eastAsia="zh-CN"/>
        </w:rPr>
      </w:pPr>
      <w:r>
        <w:rPr>
          <w:rFonts w:hint="default" w:ascii="Times New Roman" w:hAnsi="Times New Roman" w:eastAsia="方正仿宋简体" w:cs="Times New Roman"/>
          <w:b/>
          <w:bCs/>
          <w:color w:val="auto"/>
          <w:kern w:val="2"/>
          <w:sz w:val="32"/>
          <w:szCs w:val="32"/>
          <w:highlight w:val="none"/>
          <w:lang w:val="en-US" w:eastAsia="zh-CN"/>
        </w:rPr>
        <w:t>2.</w:t>
      </w:r>
      <w:r>
        <w:rPr>
          <w:rFonts w:hint="default" w:ascii="Times New Roman" w:hAnsi="Times New Roman" w:eastAsia="方正仿宋简体" w:cs="Times New Roman"/>
          <w:b/>
          <w:bCs/>
          <w:color w:val="auto"/>
          <w:kern w:val="2"/>
          <w:sz w:val="32"/>
          <w:szCs w:val="32"/>
          <w:highlight w:val="none"/>
          <w:lang w:eastAsia="zh-CN"/>
        </w:rPr>
        <w:t>实施方案编制</w:t>
      </w:r>
    </w:p>
    <w:p w14:paraId="760BB9DA">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lang w:eastAsia="zh-CN"/>
        </w:rPr>
        <w:t>（1）</w:t>
      </w:r>
      <w:r>
        <w:rPr>
          <w:rFonts w:hint="default" w:ascii="Times New Roman" w:hAnsi="Times New Roman" w:eastAsia="方正仿宋简体" w:cs="Times New Roman"/>
          <w:color w:val="auto"/>
          <w:kern w:val="2"/>
          <w:sz w:val="32"/>
          <w:szCs w:val="32"/>
          <w:highlight w:val="none"/>
        </w:rPr>
        <w:t>开展调查和资料搜集</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包括现场踏勘、向政府相关部门调研访谈等，详细了解项目情况搜集方案编制需要的资料</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w:t>
      </w:r>
    </w:p>
    <w:p w14:paraId="33EC8824">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lang w:eastAsia="zh-CN"/>
        </w:rPr>
        <w:t>（2）</w:t>
      </w:r>
      <w:r>
        <w:rPr>
          <w:rFonts w:hint="default" w:ascii="Times New Roman" w:hAnsi="Times New Roman" w:eastAsia="方正仿宋简体" w:cs="Times New Roman"/>
          <w:color w:val="auto"/>
          <w:kern w:val="2"/>
          <w:sz w:val="32"/>
          <w:szCs w:val="32"/>
          <w:highlight w:val="none"/>
        </w:rPr>
        <w:t>财务测算；</w:t>
      </w:r>
    </w:p>
    <w:p w14:paraId="136B9E8B">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lang w:eastAsia="zh-CN"/>
        </w:rPr>
        <w:t>（3）</w:t>
      </w:r>
      <w:r>
        <w:rPr>
          <w:rFonts w:hint="default" w:ascii="Times New Roman" w:hAnsi="Times New Roman" w:eastAsia="方正仿宋简体" w:cs="Times New Roman"/>
          <w:color w:val="auto"/>
          <w:kern w:val="2"/>
          <w:sz w:val="32"/>
          <w:szCs w:val="32"/>
          <w:highlight w:val="none"/>
        </w:rPr>
        <w:t>编制实施方案，实施方案主要内容包括但不限于</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项目基本情况、经济社会效益分析、项目预期收益、成本及融资平衡情况、项目融资计划、潜在影响项目收益和融资平衡结果的各种风险评估、信息披露计划等。</w:t>
      </w:r>
    </w:p>
    <w:p w14:paraId="3631C797">
      <w:pPr>
        <w:pStyle w:val="10"/>
        <w:keepNext w:val="0"/>
        <w:keepLines w:val="0"/>
        <w:pageBreakBefore w:val="0"/>
        <w:numPr>
          <w:ilvl w:val="0"/>
          <w:numId w:val="0"/>
        </w:numPr>
        <w:kinsoku/>
        <w:wordWrap/>
        <w:overflowPunct/>
        <w:topLinePunct w:val="0"/>
        <w:bidi w:val="0"/>
        <w:snapToGrid/>
        <w:spacing w:line="578"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eastAsia="zh-CN"/>
        </w:rPr>
      </w:pPr>
      <w:r>
        <w:rPr>
          <w:rFonts w:hint="default" w:ascii="Times New Roman" w:hAnsi="Times New Roman" w:eastAsia="方正仿宋简体" w:cs="Times New Roman"/>
          <w:b/>
          <w:bCs/>
          <w:color w:val="auto"/>
          <w:kern w:val="2"/>
          <w:sz w:val="32"/>
          <w:szCs w:val="32"/>
          <w:highlight w:val="none"/>
          <w:lang w:val="en-US" w:eastAsia="zh-CN"/>
        </w:rPr>
        <w:t>3.</w:t>
      </w:r>
      <w:r>
        <w:rPr>
          <w:rFonts w:hint="default" w:ascii="Times New Roman" w:hAnsi="Times New Roman" w:eastAsia="方正仿宋简体" w:cs="Times New Roman"/>
          <w:b/>
          <w:bCs/>
          <w:color w:val="auto"/>
          <w:kern w:val="2"/>
          <w:sz w:val="32"/>
          <w:szCs w:val="32"/>
          <w:highlight w:val="none"/>
          <w:lang w:eastAsia="zh-CN"/>
        </w:rPr>
        <w:t>两书编制</w:t>
      </w:r>
    </w:p>
    <w:p w14:paraId="36FEDDDB">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rPr>
        <w:t>委托两家第三方公司出具两书并审核通过：</w:t>
      </w:r>
    </w:p>
    <w:p w14:paraId="02A8E18E">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lang w:eastAsia="zh-CN"/>
        </w:rPr>
        <w:t>（1）</w:t>
      </w:r>
      <w:r>
        <w:rPr>
          <w:rFonts w:hint="default" w:ascii="Times New Roman" w:hAnsi="Times New Roman" w:eastAsia="方正仿宋简体" w:cs="Times New Roman"/>
          <w:color w:val="auto"/>
          <w:kern w:val="2"/>
          <w:sz w:val="32"/>
          <w:szCs w:val="32"/>
          <w:highlight w:val="none"/>
        </w:rPr>
        <w:t>由会计师事务所出具财务评估报告；</w:t>
      </w:r>
    </w:p>
    <w:p w14:paraId="449072C2">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仿宋简体" w:cs="Times New Roman"/>
          <w:color w:val="auto"/>
          <w:kern w:val="2"/>
          <w:sz w:val="32"/>
          <w:szCs w:val="32"/>
          <w:highlight w:val="none"/>
          <w:lang w:eastAsia="zh-CN"/>
        </w:rPr>
        <w:t>（2）</w:t>
      </w:r>
      <w:r>
        <w:rPr>
          <w:rFonts w:hint="default" w:ascii="Times New Roman" w:hAnsi="Times New Roman" w:eastAsia="方正仿宋简体" w:cs="Times New Roman"/>
          <w:color w:val="auto"/>
          <w:kern w:val="2"/>
          <w:sz w:val="32"/>
          <w:szCs w:val="32"/>
          <w:highlight w:val="none"/>
        </w:rPr>
        <w:t>由律师事务所出具法律意见书。</w:t>
      </w:r>
    </w:p>
    <w:p w14:paraId="1D1CFA37">
      <w:pPr>
        <w:pStyle w:val="10"/>
        <w:keepNext w:val="0"/>
        <w:keepLines w:val="0"/>
        <w:pageBreakBefore w:val="0"/>
        <w:numPr>
          <w:ilvl w:val="0"/>
          <w:numId w:val="0"/>
        </w:numPr>
        <w:kinsoku/>
        <w:wordWrap/>
        <w:overflowPunct/>
        <w:topLinePunct w:val="0"/>
        <w:bidi w:val="0"/>
        <w:snapToGrid/>
        <w:spacing w:line="578"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eastAsia="zh-CN"/>
        </w:rPr>
      </w:pPr>
      <w:r>
        <w:rPr>
          <w:rFonts w:hint="default" w:ascii="Times New Roman" w:hAnsi="Times New Roman" w:eastAsia="方正仿宋简体" w:cs="Times New Roman"/>
          <w:b/>
          <w:bCs/>
          <w:color w:val="auto"/>
          <w:kern w:val="2"/>
          <w:sz w:val="32"/>
          <w:szCs w:val="32"/>
          <w:highlight w:val="none"/>
          <w:lang w:val="en-US" w:eastAsia="zh-CN"/>
        </w:rPr>
        <w:t>4.</w:t>
      </w:r>
      <w:r>
        <w:rPr>
          <w:rFonts w:hint="default" w:ascii="Times New Roman" w:hAnsi="Times New Roman" w:eastAsia="方正仿宋简体" w:cs="Times New Roman"/>
          <w:b/>
          <w:bCs/>
          <w:color w:val="auto"/>
          <w:kern w:val="2"/>
          <w:sz w:val="32"/>
          <w:szCs w:val="32"/>
          <w:highlight w:val="none"/>
          <w:lang w:eastAsia="zh-CN"/>
        </w:rPr>
        <w:t>事前绩效评估报告编制</w:t>
      </w:r>
    </w:p>
    <w:p w14:paraId="20667830">
      <w:pPr>
        <w:pStyle w:val="10"/>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default" w:ascii="Times New Roman" w:hAnsi="Times New Roman" w:eastAsia="仿宋" w:cs="Times New Roman"/>
          <w:color w:val="auto"/>
          <w:kern w:val="2"/>
          <w:szCs w:val="24"/>
          <w:highlight w:val="none"/>
        </w:rPr>
      </w:pPr>
      <w:r>
        <w:rPr>
          <w:rFonts w:hint="default" w:ascii="Times New Roman" w:hAnsi="Times New Roman" w:eastAsia="方正仿宋简体" w:cs="Times New Roman"/>
          <w:color w:val="auto"/>
          <w:kern w:val="2"/>
          <w:sz w:val="32"/>
          <w:szCs w:val="32"/>
          <w:highlight w:val="none"/>
        </w:rPr>
        <w:t>根据《财政部关于印发</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地方政府专项债券项目资金绩效管理办法</w:t>
      </w:r>
      <w:r>
        <w:rPr>
          <w:rFonts w:hint="default" w:ascii="Times New Roman" w:hAnsi="Times New Roman" w:eastAsia="方正仿宋简体" w:cs="Times New Roman"/>
          <w:color w:val="auto"/>
          <w:kern w:val="2"/>
          <w:sz w:val="32"/>
          <w:szCs w:val="32"/>
          <w:highlight w:val="none"/>
          <w:lang w:eastAsia="zh-CN"/>
        </w:rPr>
        <w:t>〉的通知》（</w:t>
      </w:r>
      <w:r>
        <w:rPr>
          <w:rFonts w:hint="default" w:ascii="Times New Roman" w:hAnsi="Times New Roman" w:eastAsia="方正仿宋简体" w:cs="Times New Roman"/>
          <w:color w:val="auto"/>
          <w:kern w:val="2"/>
          <w:sz w:val="32"/>
          <w:szCs w:val="32"/>
          <w:highlight w:val="none"/>
        </w:rPr>
        <w:t>财预〔2021〕61号</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及《四川省财政厅四川省发展和改革委员会四川省自然资源厅四川省生态环境厅关于印发</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四川省地方政府专项债券全生命周期管理办法</w:t>
      </w:r>
      <w:r>
        <w:rPr>
          <w:rFonts w:hint="default" w:ascii="Times New Roman" w:hAnsi="Times New Roman" w:eastAsia="方正仿宋简体" w:cs="Times New Roman"/>
          <w:color w:val="auto"/>
          <w:kern w:val="2"/>
          <w:sz w:val="32"/>
          <w:szCs w:val="32"/>
          <w:highlight w:val="none"/>
          <w:lang w:eastAsia="zh-CN"/>
        </w:rPr>
        <w:t>〉的通知》（</w:t>
      </w:r>
      <w:r>
        <w:rPr>
          <w:rFonts w:hint="default" w:ascii="Times New Roman" w:hAnsi="Times New Roman" w:eastAsia="方正仿宋简体" w:cs="Times New Roman"/>
          <w:color w:val="auto"/>
          <w:kern w:val="2"/>
          <w:sz w:val="32"/>
          <w:szCs w:val="32"/>
          <w:highlight w:val="none"/>
        </w:rPr>
        <w:t>川财规〔2021〕6号</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等相关规定，牵头组织本地区专项债券项目事前绩效评估工作及相关要求，编制“四川省地方政府专项债券项目事前绩效评估表</w:t>
      </w:r>
      <w:r>
        <w:rPr>
          <w:rFonts w:hint="default" w:ascii="Times New Roman" w:hAnsi="Times New Roman" w:eastAsia="方正仿宋简体" w:cs="Times New Roman"/>
          <w:color w:val="auto"/>
          <w:kern w:val="2"/>
          <w:sz w:val="32"/>
          <w:szCs w:val="32"/>
          <w:highlight w:val="none"/>
          <w:lang w:eastAsia="zh-CN"/>
        </w:rPr>
        <w:t>”“</w:t>
      </w:r>
      <w:r>
        <w:rPr>
          <w:rFonts w:hint="default" w:ascii="Times New Roman" w:hAnsi="Times New Roman" w:eastAsia="方正仿宋简体" w:cs="Times New Roman"/>
          <w:color w:val="auto"/>
          <w:kern w:val="2"/>
          <w:sz w:val="32"/>
          <w:szCs w:val="32"/>
          <w:highlight w:val="none"/>
        </w:rPr>
        <w:t>四川省地方政府专项债券项目事前绩效评估报告”。</w:t>
      </w:r>
    </w:p>
    <w:p w14:paraId="749218E9"/>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F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qFormat/>
    <w:uiPriority w:val="0"/>
    <w:pPr>
      <w:spacing w:after="120"/>
    </w:pPr>
  </w:style>
  <w:style w:type="paragraph" w:customStyle="1" w:styleId="4">
    <w:name w:val="一级条标题"/>
    <w:basedOn w:val="5"/>
    <w:next w:val="1"/>
    <w:qFormat/>
    <w:uiPriority w:val="99"/>
    <w:pPr>
      <w:widowControl/>
      <w:ind w:left="420"/>
      <w:outlineLvl w:val="2"/>
    </w:pPr>
    <w:rPr>
      <w:rFonts w:ascii="黑体" w:hAnsi="Times New Roman" w:eastAsia="黑体" w:cs="黑体"/>
      <w:kern w:val="0"/>
      <w:szCs w:val="21"/>
    </w:rPr>
  </w:style>
  <w:style w:type="paragraph" w:customStyle="1" w:styleId="5">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2026-05-11T01:47:33Z</dcterms:created>
  <dc:creator>Administrator</dc:creator>
  <cp:lastModifiedBy>④禧汍ふ~</cp:lastModifiedBy>
  <dcterms:modified xsi:type="dcterms:W3CDTF">2026-05-11T01:47:38Z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eyJoZGlkIjoiZTU4OGQwMWI4ZWY4NDNiODNjMTNhMjIwYWJkMmEwMWQiLCJ1c2VySWQiOiI0NTQyNzk2NzMifQ==</vt:lpwstr>
  </property>
  <property fmtid="{D5CDD505-2E9C-101B-9397-08002B2CF9AE}" pid="4" name="ICV">
    <vt:lpwstr>5D2901B9B1A243EFB2A0FEB44F02D964_12</vt:lpwstr>
  </property>
</Properties>
</file>