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36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eastAsia="方正仿宋简体" w:cs="Arial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简体" w:cs="仿宋"/>
          <w:bCs/>
          <w:sz w:val="32"/>
          <w:szCs w:val="32"/>
        </w:rPr>
        <w:t>附件：</w:t>
      </w:r>
      <w:bookmarkStart w:id="0" w:name="_GoBack"/>
      <w:r>
        <w:rPr>
          <w:rFonts w:hint="eastAsia" w:ascii="Times New Roman" w:hAnsi="Times New Roman" w:eastAsia="方正仿宋简体" w:cs="仿宋"/>
          <w:bCs/>
          <w:sz w:val="32"/>
          <w:szCs w:val="32"/>
        </w:rPr>
        <w:t>2026年医院信息化建设项目</w:t>
      </w:r>
      <w:r>
        <w:rPr>
          <w:rFonts w:hint="eastAsia" w:ascii="Times New Roman" w:hAnsi="Times New Roman" w:eastAsia="方正仿宋简体" w:cs="仿宋"/>
          <w:bCs/>
          <w:sz w:val="32"/>
          <w:szCs w:val="32"/>
          <w:lang w:val="en-US" w:eastAsia="zh-CN"/>
        </w:rPr>
        <w:t>清单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500"/>
        <w:gridCol w:w="4798"/>
        <w:gridCol w:w="873"/>
        <w:gridCol w:w="955"/>
      </w:tblGrid>
      <w:tr w14:paraId="5F78D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35" w:type="dxa"/>
            <w:vAlign w:val="center"/>
          </w:tcPr>
          <w:p w14:paraId="41356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序号</w:t>
            </w:r>
          </w:p>
        </w:tc>
        <w:tc>
          <w:tcPr>
            <w:tcW w:w="1500" w:type="dxa"/>
            <w:vAlign w:val="center"/>
          </w:tcPr>
          <w:p w14:paraId="6474C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系统名称</w:t>
            </w:r>
          </w:p>
        </w:tc>
        <w:tc>
          <w:tcPr>
            <w:tcW w:w="4798" w:type="dxa"/>
            <w:vAlign w:val="center"/>
          </w:tcPr>
          <w:p w14:paraId="710C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描述</w:t>
            </w:r>
          </w:p>
        </w:tc>
        <w:tc>
          <w:tcPr>
            <w:tcW w:w="873" w:type="dxa"/>
            <w:vAlign w:val="center"/>
          </w:tcPr>
          <w:p w14:paraId="62B05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数量</w:t>
            </w:r>
          </w:p>
        </w:tc>
        <w:tc>
          <w:tcPr>
            <w:tcW w:w="955" w:type="dxa"/>
            <w:vAlign w:val="center"/>
          </w:tcPr>
          <w:p w14:paraId="035CD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备注</w:t>
            </w:r>
          </w:p>
        </w:tc>
      </w:tr>
      <w:tr w14:paraId="1FD1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019BD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 w14:paraId="24FDA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专业版PACS系统</w:t>
            </w:r>
          </w:p>
        </w:tc>
        <w:tc>
          <w:tcPr>
            <w:tcW w:w="4798" w:type="dxa"/>
            <w:vAlign w:val="center"/>
          </w:tcPr>
          <w:p w14:paraId="29F2C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面向全院级的医学影像管理系统，覆盖影像采集、报告诊疗、浏览后处理及系统运维等多模块。实现信息、业务与协作一体化协同，支持报告实时查阅与临床无缝对接。依托智能化流程管理，达成全院精准预约、报告智能分派及观片预设。具备灵活场景适配能力，支持界面自由配置与多样化挂片方案。采集端支持多科室DICOM标准接入，提供二维码主动获取及三方影像下载功能。业务端实现报告模板按设备灵活配置，集成报告审核、CA签名及HIS费用同步，打通全流程闭环。阅片环节提供分屏浏览、体位图管理及远程调阅工具。安全保障涵盖患者全流程追踪、危急值自动提醒、双重权限认证及操作日志审计。运维层面具备客户端部署、数据迁移、体检系统对接及新标准服务接入能力。系统通过标准化接口与模块化设计，实现影像数据全院共享与精细化管理，全面赋能影像科数字化转型</w:t>
            </w:r>
          </w:p>
        </w:tc>
        <w:tc>
          <w:tcPr>
            <w:tcW w:w="873" w:type="dxa"/>
            <w:vAlign w:val="center"/>
          </w:tcPr>
          <w:p w14:paraId="29227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1套</w:t>
            </w:r>
          </w:p>
        </w:tc>
        <w:tc>
          <w:tcPr>
            <w:tcW w:w="955" w:type="dxa"/>
            <w:vAlign w:val="center"/>
          </w:tcPr>
          <w:p w14:paraId="706E9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三年质保</w:t>
            </w:r>
          </w:p>
        </w:tc>
      </w:tr>
      <w:tr w14:paraId="726D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447A2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1500" w:type="dxa"/>
            <w:vAlign w:val="center"/>
          </w:tcPr>
          <w:p w14:paraId="42CC5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临生免系统</w:t>
            </w:r>
          </w:p>
        </w:tc>
        <w:tc>
          <w:tcPr>
            <w:tcW w:w="4798" w:type="dxa"/>
          </w:tcPr>
          <w:p w14:paraId="3C6F6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构建覆盖检验全流程的核心功能体系。提供完善的组织人员、检验项目、指标规则及设备仪器管理，支撑业务灵活配置。实现从申请接收、采集任务计算、标本流转到报告审核、危急值处理及一键回退的闭环管理，并支持报告查询与结果回写。</w:t>
            </w:r>
            <w:r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支持执行端诊间支付与补费功能，显著提升患者缴费效率。无缝连接HIS、医生站、各类体检系统及第三方CDSS服务，支持多品牌仪器接入与新标准服务交互。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EA62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1套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0C7E5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三年质保</w:t>
            </w:r>
          </w:p>
        </w:tc>
      </w:tr>
      <w:tr w14:paraId="70A1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2BC35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1500" w:type="dxa"/>
            <w:vAlign w:val="center"/>
          </w:tcPr>
          <w:p w14:paraId="5367D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专业版微生物</w:t>
            </w:r>
          </w:p>
        </w:tc>
        <w:tc>
          <w:tcPr>
            <w:tcW w:w="4798" w:type="dxa"/>
            <w:vAlign w:val="top"/>
          </w:tcPr>
          <w:p w14:paraId="0AB64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涵盖微生物检验全流程管理。核心功能包括：基础配置（数据源、参数、折点、权限）；标本核收（条码识别、不合格反馈、进度追踪）；核心业务模块（血培养、涂片镜检、普通培养、鉴定、药敏），支持仪器对接、图片采集、方案自动匹配及报告自动生成；支持与HIS、电子病历、病案系统、体检系统及区域平台集成，实现报告查阅、结果回传及危急值处理。提供标准化操作方案与统计分析功能，提升检验效率与数据准确性，满足临床与实验室管理需求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2156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1套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23F62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三年质保</w:t>
            </w:r>
          </w:p>
        </w:tc>
      </w:tr>
      <w:tr w14:paraId="670A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09C12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1500" w:type="dxa"/>
            <w:vAlign w:val="center"/>
          </w:tcPr>
          <w:p w14:paraId="09217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专业版挂号系统</w:t>
            </w:r>
          </w:p>
        </w:tc>
        <w:tc>
          <w:tcPr>
            <w:tcW w:w="4798" w:type="dxa"/>
            <w:vAlign w:val="center"/>
          </w:tcPr>
          <w:p w14:paraId="462B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负责出诊专科、号类及规则参数管理，奠定数据基石；排班管理模块支持科室与诊台双模式，涵盖计划制定、医生安排、停换诊及节假日调整，实现号源精细化管控；挂号业务模块集成病人识别、挂号结算、预约管理及加减号审核，高效响应窗口需求；医生端功能赋能诊间服务，支持医生直接进行预约、加号及排班查询；统计查询模块则提供多维度数据分析。系统通过模块化设计，实现从排班到结算的闭环管理，与HIS、费用等系统无缝对接，显著提升门诊运营效率与患者就医体验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C517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1套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78689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三年质保</w:t>
            </w:r>
          </w:p>
        </w:tc>
      </w:tr>
      <w:tr w14:paraId="5AD6F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5D736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1500" w:type="dxa"/>
            <w:vAlign w:val="center"/>
          </w:tcPr>
          <w:p w14:paraId="5FF08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专业版病人信息管理</w:t>
            </w:r>
          </w:p>
        </w:tc>
        <w:tc>
          <w:tcPr>
            <w:tcW w:w="4798" w:type="dxa"/>
          </w:tcPr>
          <w:p w14:paraId="24C38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解决患者身份唯一性及信息连续性问题。系统主要涵盖七大功能模块：病人信息管理支持档案的登记、修改、删除及历史痕迹追溯；病人身份识别模块提供患者主索引（MPI）服务，通过规则设置自动发现并合并相似患者，确保“一人一档”，并具备隐私病人脱敏与授权查看功能；病人入院管理涵盖入院登记、留观、预约及医保担保等全流程事务。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DEC9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1套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2122A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三年质保</w:t>
            </w:r>
          </w:p>
        </w:tc>
      </w:tr>
      <w:tr w14:paraId="4383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2F5BA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6</w:t>
            </w:r>
          </w:p>
        </w:tc>
        <w:tc>
          <w:tcPr>
            <w:tcW w:w="1500" w:type="dxa"/>
            <w:vAlign w:val="center"/>
          </w:tcPr>
          <w:p w14:paraId="2BA82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临床路径</w:t>
            </w:r>
          </w:p>
        </w:tc>
        <w:tc>
          <w:tcPr>
            <w:tcW w:w="4798" w:type="dxa"/>
            <w:vAlign w:val="top"/>
          </w:tcPr>
          <w:p w14:paraId="3A00C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涵盖路径设计、临床应用、变异管理及统计分析等模块。系统设计支持多版本管理、分支与跳转路径、合并路径及中医证候匹配，满足复杂诊疗需求。临床端实现智能诊断匹配入径、医嘱自动生成、阶段灵活评估及药品替代不变异处理，有效平衡规范性与灵活性。系统内置严格的变异管控机制，强制记录退出原因并支持权限审批，确保医疗质量。管理端提供实时执行监控、多维度变异分析及符合国家标准的单病种统计报表，辅助持续改进。此外，系统支持与HIS、EMR一体化集成，具备患者版路径打印、移动查房及费用估算功能，全面提升医护协同效率与管理决策水平，助力医院实现精细化临床路径管理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F935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1套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60450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三年质保</w:t>
            </w:r>
          </w:p>
        </w:tc>
      </w:tr>
      <w:tr w14:paraId="60755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3F81D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7</w:t>
            </w:r>
          </w:p>
        </w:tc>
        <w:tc>
          <w:tcPr>
            <w:tcW w:w="1500" w:type="dxa"/>
            <w:vAlign w:val="center"/>
          </w:tcPr>
          <w:p w14:paraId="454C1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临床数据中心CDR</w:t>
            </w:r>
          </w:p>
        </w:tc>
        <w:tc>
          <w:tcPr>
            <w:tcW w:w="4798" w:type="dxa"/>
          </w:tcPr>
          <w:p w14:paraId="626C3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包括但不限于：CDR-临床数据中心、CDA文档管理系统、移动决策分析管理系统、危急值管理系统、医疗质量监控管理系统、VTE智能防治系统、医院等级评审系统、统一预约管理平台（门诊预约管理、全院检查预约管理、住院预约管理）。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97EB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1套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2805B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三年质保</w:t>
            </w:r>
          </w:p>
        </w:tc>
      </w:tr>
      <w:tr w14:paraId="7827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58190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8</w:t>
            </w:r>
          </w:p>
        </w:tc>
        <w:tc>
          <w:tcPr>
            <w:tcW w:w="1500" w:type="dxa"/>
            <w:vAlign w:val="center"/>
          </w:tcPr>
          <w:p w14:paraId="056F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血透管理系统</w:t>
            </w:r>
          </w:p>
        </w:tc>
        <w:tc>
          <w:tcPr>
            <w:tcW w:w="4798" w:type="dxa"/>
          </w:tcPr>
          <w:p w14:paraId="3EEAF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患者管理（电子病历管理、患者费用管理）、患者排班管理、临床治疗管理（医生工作站、护士工作站、危急值管理、透析充分性评估、移动医疗）、健康宣教、质控管理（护理质控管理、SOP质控统计、护理质控查检）、库房管理（药房管理、耗材管理）、设备管理（透析机管理、水机管理）、工作量统计、科研分析、其他管理（数据字典管理、权限管理）、质控上报、数据接口（HIS接口、LIS接口）、辅助系统（自助称量体重、自助测量血压、自动排队排号、家属等候区、语音呼叫）、透析机数据采集（透析机数据采集）。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6E7D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1套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4CA0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三年质保</w:t>
            </w:r>
          </w:p>
        </w:tc>
      </w:tr>
      <w:tr w14:paraId="5752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7681C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9</w:t>
            </w:r>
          </w:p>
        </w:tc>
        <w:tc>
          <w:tcPr>
            <w:tcW w:w="1500" w:type="dxa"/>
            <w:vAlign w:val="center"/>
          </w:tcPr>
          <w:p w14:paraId="5D3D7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前置审方</w:t>
            </w:r>
          </w:p>
        </w:tc>
        <w:tc>
          <w:tcPr>
            <w:tcW w:w="4798" w:type="dxa"/>
          </w:tcPr>
          <w:p w14:paraId="00A0E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包括但不限于：1.合理用药监测系统（处方（医嘱）用药审查功能、药品信息提示功能、质子泵抑制药专项管控、协定方专项管控、经验性用药专项管控、抗菌药物专项管控、审查提示屏蔽功能、审查规则自定义功能（医院专家知识库）、统计分析功能、通讯功能）2.药物信息查询功能（药物信息参考、药品说明书、妊娠哺乳、用药、用药教育、ICD、检验值、药品基本信息、临床路径、医药公式、医药法规、国家基本药物、中医药、超说明用药、儿童用药、药物相互作用审查、注射剂配伍审查、其他功能（分类浏览、关键词检索，可通过适应症、禁忌症、不良反应、全文检索等方式检索，支持名称及拼音简码检索，支持单数据库检索及多数据库检索））3.药师审方干预系统（审方时机和过程、审方干预功能、质量评价功能、审方干预自定义功能、患者信息查看、系统审查、统计分析、大屏展示功能）4.处方点评系统（智慧中心、读取和查看病人信息、处方点评、抗菌药物临床应用监测、电子药历、统计分析）5.集采药品管理系统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2601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1套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2436C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三年质保</w:t>
            </w:r>
          </w:p>
        </w:tc>
      </w:tr>
      <w:tr w14:paraId="6E1D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2C4E0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10</w:t>
            </w:r>
          </w:p>
        </w:tc>
        <w:tc>
          <w:tcPr>
            <w:tcW w:w="1500" w:type="dxa"/>
            <w:vAlign w:val="center"/>
          </w:tcPr>
          <w:p w14:paraId="43FE9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急诊信息系统</w:t>
            </w:r>
          </w:p>
        </w:tc>
        <w:tc>
          <w:tcPr>
            <w:tcW w:w="4798" w:type="dxa"/>
          </w:tcPr>
          <w:p w14:paraId="2A5E1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包括但不限于：预检分诊、电子医嘱、急诊输液管理、急诊护理、急诊专科电子病历、急诊科管理驾驶舱、急诊质控、交接班、会诊管理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9BA0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1套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13D15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三年质保</w:t>
            </w:r>
          </w:p>
        </w:tc>
      </w:tr>
      <w:tr w14:paraId="1F8C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7E089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11</w:t>
            </w:r>
          </w:p>
        </w:tc>
        <w:tc>
          <w:tcPr>
            <w:tcW w:w="1500" w:type="dxa"/>
            <w:vAlign w:val="center"/>
          </w:tcPr>
          <w:p w14:paraId="5EF76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院感系统升级</w:t>
            </w:r>
          </w:p>
        </w:tc>
        <w:tc>
          <w:tcPr>
            <w:tcW w:w="4798" w:type="dxa"/>
          </w:tcPr>
          <w:p w14:paraId="01067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升级医院现有院感系统，包括血液透析感染监测模块项目、感控督导系统服务及四川省医院感染质控信息化平台对接服务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92F1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1套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1D195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简体"/>
                <w:b w:val="0"/>
                <w:bCs w:val="0"/>
                <w:sz w:val="21"/>
                <w:szCs w:val="18"/>
                <w:lang w:val="en-US" w:eastAsia="zh-CN"/>
              </w:rPr>
              <w:t>三年质保</w:t>
            </w:r>
          </w:p>
        </w:tc>
      </w:tr>
    </w:tbl>
    <w:p w14:paraId="25A02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简体" w:cs="Arial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A46BB64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F1A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-96520</wp:posOffset>
              </wp:positionV>
              <wp:extent cx="401955" cy="2838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955" cy="283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695327"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6pt;height:22.35pt;width:31.65pt;mso-position-horizontal:outside;mso-position-horizontal-relative:margin;z-index:251659264;mso-width-relative:page;mso-height-relative:page;" filled="f" stroked="f" coordsize="21600,21600" o:gfxdata="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P0pRV1gAAAAYBAAAPAAAAAAAAAAEAIAAAACIAAABkcnMvZG93bnJl&#10;di54bWxQSwECFAAUAAAACACHTuJA//b3DjgCAABh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7695327">
                    <w:pPr>
                      <w:pStyle w:val="2"/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6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2026-05-26T00:56:11Z</dcterms:created>
  <dc:creator>Administrator</dc:creator>
  <cp:lastModifiedBy>④禧汍ふ~</cp:lastModifiedBy>
  <dcterms:modified xsi:type="dcterms:W3CDTF">2026-05-26T00:56:19Z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eyJoZGlkIjoiZTU4OGQwMWI4ZWY4NDNiODNjMTNhMjIwYWJkMmEwMWQiLCJ1c2VySWQiOiI0NTQyNzk2NzMifQ==</vt:lpwstr>
  </property>
  <property fmtid="{D5CDD505-2E9C-101B-9397-08002B2CF9AE}" pid="4" name="ICV">
    <vt:lpwstr>F5BA2C73C20945EA8387F649D28E614C_12</vt:lpwstr>
  </property>
</Properties>
</file>