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F4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仿宋"/>
          <w:bCs/>
          <w:sz w:val="32"/>
          <w:szCs w:val="32"/>
        </w:rPr>
      </w:pPr>
      <w:r>
        <w:rPr>
          <w:rFonts w:hint="eastAsia" w:ascii="Times New Roman" w:hAnsi="Times New Roman" w:eastAsia="方正仿宋简体" w:cs="仿宋"/>
          <w:bCs/>
          <w:sz w:val="32"/>
          <w:szCs w:val="32"/>
        </w:rPr>
        <w:t>附件：</w:t>
      </w:r>
    </w:p>
    <w:p w14:paraId="31B36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Arial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</w:pPr>
      <w:r>
        <w:rPr>
          <w:rFonts w:hint="eastAsia" w:ascii="Times New Roman" w:hAnsi="Times New Roman" w:eastAsia="方正仿宋简体" w:cs="楷体"/>
          <w:bCs/>
          <w:sz w:val="32"/>
          <w:szCs w:val="32"/>
          <w:lang w:eastAsia="zh-CN"/>
        </w:rPr>
        <w:t>万源市人民医院 202</w:t>
      </w:r>
      <w:r>
        <w:rPr>
          <w:rFonts w:hint="eastAsia" w:ascii="Times New Roman" w:hAnsi="Times New Roman" w:eastAsia="方正仿宋简体" w:cs="楷体"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楷体"/>
          <w:bCs/>
          <w:sz w:val="32"/>
          <w:szCs w:val="32"/>
          <w:lang w:eastAsia="zh-CN"/>
        </w:rPr>
        <w:t xml:space="preserve"> 年公立医院改革与高质量发展示范项目信息系统集成服务项目</w:t>
      </w:r>
      <w:r>
        <w:rPr>
          <w:rFonts w:hint="eastAsia" w:ascii="Times New Roman" w:hAnsi="Times New Roman" w:eastAsia="方正仿宋简体" w:cs="楷体"/>
          <w:bCs/>
          <w:sz w:val="32"/>
          <w:szCs w:val="32"/>
          <w:lang w:val="en-US" w:eastAsia="zh-CN"/>
        </w:rPr>
        <w:t>清单</w:t>
      </w:r>
      <w:bookmarkStart w:id="0" w:name="_GoBack"/>
      <w:bookmarkEnd w:id="0"/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500"/>
        <w:gridCol w:w="4798"/>
        <w:gridCol w:w="873"/>
        <w:gridCol w:w="955"/>
      </w:tblGrid>
      <w:tr w14:paraId="5F78D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35" w:type="dxa"/>
            <w:vAlign w:val="center"/>
          </w:tcPr>
          <w:p w14:paraId="41356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  <w:t>序号</w:t>
            </w:r>
          </w:p>
        </w:tc>
        <w:tc>
          <w:tcPr>
            <w:tcW w:w="1500" w:type="dxa"/>
            <w:vAlign w:val="center"/>
          </w:tcPr>
          <w:p w14:paraId="6474C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  <w:t>系统名称</w:t>
            </w:r>
          </w:p>
        </w:tc>
        <w:tc>
          <w:tcPr>
            <w:tcW w:w="4798" w:type="dxa"/>
            <w:vAlign w:val="center"/>
          </w:tcPr>
          <w:p w14:paraId="710C5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  <w:t>描述</w:t>
            </w:r>
          </w:p>
        </w:tc>
        <w:tc>
          <w:tcPr>
            <w:tcW w:w="873" w:type="dxa"/>
            <w:vAlign w:val="center"/>
          </w:tcPr>
          <w:p w14:paraId="62B05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  <w:t>数量</w:t>
            </w:r>
          </w:p>
        </w:tc>
        <w:tc>
          <w:tcPr>
            <w:tcW w:w="955" w:type="dxa"/>
            <w:vAlign w:val="center"/>
          </w:tcPr>
          <w:p w14:paraId="035CD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</w:rPr>
              <w:t>备注</w:t>
            </w:r>
          </w:p>
        </w:tc>
      </w:tr>
      <w:tr w14:paraId="47061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7566B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</w:t>
            </w:r>
          </w:p>
        </w:tc>
        <w:tc>
          <w:tcPr>
            <w:tcW w:w="1500" w:type="dxa"/>
            <w:vAlign w:val="center"/>
          </w:tcPr>
          <w:p w14:paraId="2E077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Style w:val="13"/>
                <w:rFonts w:ascii="Times New Roman" w:hAnsi="Times New Roman" w:eastAsia="方正仿宋简体"/>
                <w:lang w:val="en-US" w:eastAsia="zh-CN" w:bidi="ar"/>
              </w:rPr>
              <w:t>临床数据中</w:t>
            </w:r>
            <w:r>
              <w:rPr>
                <w:rStyle w:val="13"/>
                <w:rFonts w:ascii="Times New Roman" w:hAnsi="Times New Roman" w:eastAsia="方正仿宋简体"/>
                <w:i w:val="0"/>
                <w:iCs w:val="0"/>
                <w:color w:val="000000"/>
                <w:lang w:val="en-US" w:eastAsia="zh-CN" w:bidi="ar"/>
              </w:rPr>
              <w:t>心CDR</w:t>
            </w:r>
          </w:p>
        </w:tc>
        <w:tc>
          <w:tcPr>
            <w:tcW w:w="4798" w:type="dxa"/>
            <w:vAlign w:val="center"/>
          </w:tcPr>
          <w:p w14:paraId="7E692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CDR-临床数据中心、CDA文档管理系统、移动决策分析管理系统、危急值管理系统、医疗质量监控管理系统、医院等级评审系统、统一预约管理平台（门诊预约管理、全院检查预约管理、住院预约管理）、消毒供应系统、病人信息管理、集采药品管控系统。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E929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1C5F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1FD1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019BD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2</w:t>
            </w:r>
          </w:p>
        </w:tc>
        <w:tc>
          <w:tcPr>
            <w:tcW w:w="1500" w:type="dxa"/>
            <w:vAlign w:val="center"/>
          </w:tcPr>
          <w:p w14:paraId="24FDA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影像系统</w:t>
            </w:r>
          </w:p>
        </w:tc>
        <w:tc>
          <w:tcPr>
            <w:tcW w:w="4798" w:type="dxa"/>
            <w:vAlign w:val="center"/>
          </w:tcPr>
          <w:p w14:paraId="29F2C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面向全院级的医学影像管理系统，覆盖影像采集、报告诊疗、浏览后处理及系统运维等多模块。实现信息、业务与协作一体化协同，支持报告实时查阅与临床无缝对接。依托智能化流程管理，达成全院精准预约、报告智能分派及观片预设。具备灵活场景适配能力，支持界面自由配置与多样化挂片方案。采集端支持多科室DICOM标准接入，提供二维码主动获取及三方影像下载功能。业务端实现报告模板按设备灵活配置，集成报告审核、CA签名及HIS费用同步，打通全流程闭环。阅片环节提供分屏浏览、体位图管理及远程调阅工具。安全保障涵盖患者全流程追踪、危急值自动提醒、双重权限认证及操作日志审计。运维层面具备客户端部署、数据迁移、体检系统对接及新标准服务接入能力。系统通过标准化接口与模块化设计，实现影像数据全院共享与精细化管理，全面赋能影像科数字化转型；超声系统、放射系统、内镜系统、病理系统。</w:t>
            </w:r>
          </w:p>
        </w:tc>
        <w:tc>
          <w:tcPr>
            <w:tcW w:w="873" w:type="dxa"/>
            <w:vAlign w:val="center"/>
          </w:tcPr>
          <w:p w14:paraId="29227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vAlign w:val="center"/>
          </w:tcPr>
          <w:p w14:paraId="706E9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42F31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582B3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1500" w:type="dxa"/>
            <w:vAlign w:val="center"/>
          </w:tcPr>
          <w:p w14:paraId="4B0D7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仿宋"/>
                <w:color w:val="000000"/>
                <w:szCs w:val="21"/>
              </w:rPr>
              <w:t>血透管理系统</w:t>
            </w:r>
          </w:p>
        </w:tc>
        <w:tc>
          <w:tcPr>
            <w:tcW w:w="4798" w:type="dxa"/>
          </w:tcPr>
          <w:p w14:paraId="2015D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患者管理（电子病历管理、患者费用管理）、患者排班管理、临床治疗管理（医生工作站、护士工作站、危急值管理、透析充分性评估、移动医疗）、健康宣教、质控管理（护理质控管理、SOP质控统计、护理质控查检）、库房管理（药房管理、耗材管理）、设备管理（透析机管理、水机管理）、工作量统计、科研分析、其他管理（数据字典管理、权限管理）、质控上报、数据接口（HIS接口、LIS接口）、辅助系统（自助称量体重、自助测量血压、自动排队排号、家属等候区、语音呼叫）、透析机数据采集（透析机数据采集）。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ADBF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BC32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726DD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447A2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1500" w:type="dxa"/>
            <w:vAlign w:val="center"/>
          </w:tcPr>
          <w:p w14:paraId="42CC5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临生免</w:t>
            </w: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、微生物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</w:t>
            </w:r>
          </w:p>
        </w:tc>
        <w:tc>
          <w:tcPr>
            <w:tcW w:w="4798" w:type="dxa"/>
          </w:tcPr>
          <w:p w14:paraId="3C6F6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构建覆盖检验全流程的核心功能体系。提供完善的组织人员、检验项目、指标规则及设备仪器管理，支撑业务灵活配置。实现从申请接收、采集任务计算、标本流转到报告审核、危急值处理及一键回退的闭环管理，并支持报告查询与结果回写。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支持执行端诊间支付与补费功能，显著提升患者缴费效率。无缝连接HIS、医生站、各类体检系统及第三方CDSS服务，支持多品牌仪器接入与新标准服务交互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；微生物系统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。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EA62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C7E5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70A1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2BC35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1500" w:type="dxa"/>
            <w:vAlign w:val="center"/>
          </w:tcPr>
          <w:p w14:paraId="5367D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仿宋"/>
                <w:color w:val="000000"/>
                <w:szCs w:val="21"/>
                <w:lang w:val="en-US" w:eastAsia="zh-CN"/>
              </w:rPr>
              <w:t>临床路径</w:t>
            </w:r>
          </w:p>
        </w:tc>
        <w:tc>
          <w:tcPr>
            <w:tcW w:w="4798" w:type="dxa"/>
            <w:vAlign w:val="top"/>
          </w:tcPr>
          <w:p w14:paraId="0AB64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涵盖路径设计、临床应用、变异管理及统计分析等模块。系统设计支持多版本管理、分支与跳转路径、合并路径及中医证候匹配，满足复杂诊疗需求。临床端实现智能诊断匹配入径、医嘱自动生成、阶段灵活评估及药品替代不变异处理，有效平衡规范性与灵活性。系统内置严格的变异管控机制，强制记录退出原因并支持权限审批，确保医疗质量。管理端提供实时执行监控、多维度变异分析及符合国家标准的单病种统计报表，辅助持续改进。此外，系统支持与HIS、EMR一体化集成，具备患者版路径打印、移动查房及费用估算功能，全面提升医护协同效率与管理决策水平，助力医院实现精细化临床路径管理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2156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3F62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670A2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09C12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9217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前置审方</w:t>
            </w:r>
          </w:p>
        </w:tc>
        <w:tc>
          <w:tcPr>
            <w:tcW w:w="4798" w:type="dxa"/>
            <w:shd w:val="clear" w:color="auto" w:fill="auto"/>
            <w:vAlign w:val="top"/>
          </w:tcPr>
          <w:p w14:paraId="462B7E62">
            <w:pPr>
              <w:widowControl w:val="0"/>
              <w:numPr>
                <w:ilvl w:val="0"/>
                <w:numId w:val="2"/>
              </w:numPr>
              <w:jc w:val="both"/>
              <w:rPr>
                <w:rFonts w:hint="eastAsia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包括但不限于：1.合理用药监测系统（处方（医嘱）用药审查功能、药品信息提示功能、质子泵抑制药专项管控、协定方专项管控、经验性用药专项管控、抗菌药物专项管控、审查提示屏蔽功能、审查规则自定义功能（医院专家知识库）、统计分析功能、通讯功能）2.处方点评（智慧中心、读取和查看病人信息、处方点评、抗菌药物临床应用监测、电子药历、统计分析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自维护系统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）3.药师审方干预系统（审方时机和过程、审方干预功能、质量评价功能、审方干预自定义功能、患者信息查看、系统审查、统计分析、大屏展示功能）4.药物信息查询（药物信息参考、药品说明书、妊娠哺乳用药、用药教育、ICD、ATC编码与DDD值、检验值、药品基本信息、临床路径、医药公式、医药时讯、医药法规、国家基本药物、FDA妊娠用药安全性分级、中医药、EMA药品说明书、FDA药品说明书、超说明用药、儿童用药、药物相互作用审查、注射剂配伍审查）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C517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8689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2400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10FE4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7</w:t>
            </w:r>
          </w:p>
        </w:tc>
        <w:tc>
          <w:tcPr>
            <w:tcW w:w="1500" w:type="dxa"/>
            <w:vAlign w:val="center"/>
          </w:tcPr>
          <w:p w14:paraId="0FF0D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仿宋"/>
                <w:color w:val="000000"/>
                <w:szCs w:val="21"/>
                <w:lang w:val="en-US" w:eastAsia="zh-CN"/>
              </w:rPr>
              <w:t>急诊</w:t>
            </w:r>
            <w:r>
              <w:rPr>
                <w:rFonts w:hint="eastAsia" w:eastAsia="方正仿宋简体" w:cs="仿宋"/>
                <w:color w:val="000000"/>
                <w:szCs w:val="21"/>
                <w:lang w:val="en-US" w:eastAsia="zh-CN"/>
              </w:rPr>
              <w:t>预检分诊</w:t>
            </w:r>
            <w:r>
              <w:rPr>
                <w:rFonts w:hint="eastAsia" w:ascii="Times New Roman" w:hAnsi="Times New Roman" w:eastAsia="方正仿宋简体" w:cs="仿宋"/>
                <w:color w:val="000000"/>
                <w:szCs w:val="21"/>
                <w:lang w:val="en-US" w:eastAsia="zh-CN"/>
              </w:rPr>
              <w:t>系统</w:t>
            </w:r>
          </w:p>
        </w:tc>
        <w:tc>
          <w:tcPr>
            <w:tcW w:w="4798" w:type="dxa"/>
            <w:vAlign w:val="center"/>
          </w:tcPr>
          <w:p w14:paraId="7EEE0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患者身份识别与建档管理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生命体征与临床评估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智能分诊与分级逻辑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挂号与费用处理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列表管理与查询统计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系统交互与扩展能力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75C3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9CF4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3DC8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7C973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1500" w:type="dxa"/>
            <w:vAlign w:val="center"/>
          </w:tcPr>
          <w:p w14:paraId="641D3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院感系统升级</w:t>
            </w:r>
          </w:p>
        </w:tc>
        <w:tc>
          <w:tcPr>
            <w:tcW w:w="4798" w:type="dxa"/>
            <w:shd w:val="clear" w:color="auto" w:fill="auto"/>
            <w:vAlign w:val="top"/>
          </w:tcPr>
          <w:p w14:paraId="7461E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升级医院现有院感系统，包括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医院感染质控平台数据交换模块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血液透析感染监测模块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感控督导功能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2FE7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AEE8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4CD3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5E320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9</w:t>
            </w:r>
          </w:p>
        </w:tc>
        <w:tc>
          <w:tcPr>
            <w:tcW w:w="1500" w:type="dxa"/>
            <w:vAlign w:val="center"/>
          </w:tcPr>
          <w:p w14:paraId="6F88E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住院医生工作站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11C719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自定义工作站管理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外接系统管理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角色授权管理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诊疗单据与报表配置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系统参数与微场景配置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工具栏与患者列表功能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医嘱列表与管理功能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医嘱下达与申请单功能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临床路径与报告查阅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成套方案、配方与特色功能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9146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A16F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055E8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0A28E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10</w:t>
            </w:r>
          </w:p>
        </w:tc>
        <w:tc>
          <w:tcPr>
            <w:tcW w:w="1500" w:type="dxa"/>
            <w:vAlign w:val="center"/>
          </w:tcPr>
          <w:p w14:paraId="2CEA7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会诊系统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1838EA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cs="仿宋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权限与安全管理体系、常规会诊基础配置、特殊级抗菌药物会诊配置、会诊申请与被邀请流程、统计查询与报表分析、申请单录入与校验细节、会诊意见书写与质控、流程流转与状态控制、高级统计与数据应用、门诊给药执行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8720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52FB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5942B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32D3E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11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160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 w:asciiTheme="minorHAnsi" w:hAnsiTheme="minorHAns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通用治疗系统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068E6B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全院通用治疗系统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基础数据与权限管理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智能排班与预约管理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治疗申请与登记执行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计费管理与财务对接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移动应用与PDA支持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统计查询与决策支持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单据打印与病案集成</w:t>
            </w: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接口集成与安全运维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3767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0169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45A7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6A190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12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29C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 w:asciiTheme="minorHAnsi" w:hAnsiTheme="minorHAns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处方开立权系统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6F0427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管理医师处方开具资格、权限分级及电子处方全流程管控‌的信息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附加属性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开立控制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医生开立授权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医生审核授权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申请审核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提供外部调用接口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接入标准统计查询系统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419A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5A9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22DB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09452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13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354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 w:asciiTheme="minorHAnsi" w:hAnsiTheme="minorHAns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体检系统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4F4A53F4">
            <w:pPr>
              <w:numPr>
                <w:ilvl w:val="0"/>
                <w:numId w:val="0"/>
              </w:numP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全流程管理系统，通过信息化手段实现检测数据自动提取、报告生成及流程管理。体检团队/人员管理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团队任务管理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体检登记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体检预约管理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体检替检管理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分检医生站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体检理单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个人体检总检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个人总检审核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团队体检总检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体检签离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体检报告管理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体检报告签收与发放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体检团队结算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统计查询工作站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体检微信移动端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职业病体检专项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总检分配与查询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职业团队总检与自助机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接口日志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EE13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BEE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40E9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0E54A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14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E8C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 w:asciiTheme="minorHAnsi" w:hAnsiTheme="minorHAns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医用PDA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75C781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医用手持终端设备‌，专门用来扫码核对、录入数据和查询病历的便携工具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590C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80台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4899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426C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4D1D8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15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172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 w:asciiTheme="minorHAnsi" w:hAnsiTheme="minorHAns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康复管理系统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508A30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医院就诊流程、工作流程和康复治疗运作模式，通过对接院内信息化系统打造的临床、康复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管理系统。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用户权限管理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基础数据管理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康复医生工作站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康复评估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问题目标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康复计划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治疗师工作站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治疗师排班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治疗师分配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患者预约安排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协助评估申请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治疗师执行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患者评估移动端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患者移动端查询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统计查询</w:t>
            </w: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病历查看、书写外部系统集成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E865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8393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39EFE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3655D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16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314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微信公众号升级改造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38C751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院内资源变动通知、诊疗活动全流程告知、就诊指导信息推送、科室位置与排队查询、.候诊智能引导、个性化健康管理与宣教、处方与药品信息查询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82DF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1套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7BE7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  <w:tr w14:paraId="62EF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vAlign w:val="center"/>
          </w:tcPr>
          <w:p w14:paraId="7AAC6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17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D72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自助结算设备</w:t>
            </w:r>
          </w:p>
        </w:tc>
        <w:tc>
          <w:tcPr>
            <w:tcW w:w="4798" w:type="dxa"/>
            <w:shd w:val="clear" w:color="auto" w:fill="auto"/>
            <w:vAlign w:val="center"/>
          </w:tcPr>
          <w:p w14:paraId="13FDA4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主机模块、操作屏、银行卡读卡器、密码键盘、社保卡模块、条码扫描器、身份证阅读器、凭条模块、医保刷脸支付模块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EFB8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5台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8AF5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theme="minorBidi"/>
                <w:b w:val="0"/>
                <w:bCs w:val="0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/>
                <w:b w:val="0"/>
                <w:bCs w:val="0"/>
                <w:sz w:val="21"/>
                <w:szCs w:val="18"/>
                <w:lang w:val="en-US" w:eastAsia="zh-CN"/>
              </w:rPr>
              <w:t>三年质保</w:t>
            </w:r>
          </w:p>
        </w:tc>
      </w:tr>
    </w:tbl>
    <w:p w14:paraId="05E1D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仿宋简体" w:cs="Arial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footerReference r:id="rId3" w:type="default"/>
      <w:pgSz w:w="11906" w:h="16838"/>
      <w:pgMar w:top="2098" w:right="1474" w:bottom="1984" w:left="1587" w:header="851" w:footer="1559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F1AC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-96520</wp:posOffset>
              </wp:positionV>
              <wp:extent cx="401955" cy="2838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955" cy="283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95327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7.6pt;height:22.35pt;width:31.65pt;mso-position-horizontal:outside;mso-position-horizontal-relative:margin;z-index:251659264;mso-width-relative:page;mso-height-relative:page;" filled="f" stroked="f" coordsize="21600,21600" o:gfxdata="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P0pRV1gAAAAYBAAAPAAAAAAAAAAEAIAAAACIAAABkcnMvZG93bnJl&#10;di54bWxQSwECFAAUAAAACACHTuJA//b3DjgCAABh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695327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A48E9"/>
    <w:multiLevelType w:val="multilevel"/>
    <w:tmpl w:val="A10A48E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宋体" w:hAnsi="宋体" w:eastAsia="宋体"/>
      </w:r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C3C27D2"/>
    <w:multiLevelType w:val="singleLevel"/>
    <w:tmpl w:val="2C3C27D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D49AC"/>
    <w:rsid w:val="016155B8"/>
    <w:rsid w:val="0187317C"/>
    <w:rsid w:val="01B06387"/>
    <w:rsid w:val="03140DA8"/>
    <w:rsid w:val="076E26A3"/>
    <w:rsid w:val="08887809"/>
    <w:rsid w:val="09C035C1"/>
    <w:rsid w:val="0A1246B0"/>
    <w:rsid w:val="0B0A431F"/>
    <w:rsid w:val="0B6B392D"/>
    <w:rsid w:val="0C701C23"/>
    <w:rsid w:val="0CD362C5"/>
    <w:rsid w:val="0E687784"/>
    <w:rsid w:val="104F55CF"/>
    <w:rsid w:val="10B464C1"/>
    <w:rsid w:val="10E2302E"/>
    <w:rsid w:val="112305D7"/>
    <w:rsid w:val="119C322D"/>
    <w:rsid w:val="11A43DCD"/>
    <w:rsid w:val="11D27843"/>
    <w:rsid w:val="12722003"/>
    <w:rsid w:val="129569C0"/>
    <w:rsid w:val="12BB1692"/>
    <w:rsid w:val="138A748A"/>
    <w:rsid w:val="13C6644A"/>
    <w:rsid w:val="150D1DB2"/>
    <w:rsid w:val="161F262E"/>
    <w:rsid w:val="168A350F"/>
    <w:rsid w:val="196229FF"/>
    <w:rsid w:val="19F5041D"/>
    <w:rsid w:val="1B252495"/>
    <w:rsid w:val="1D890C3E"/>
    <w:rsid w:val="1DDA2660"/>
    <w:rsid w:val="1E502EE9"/>
    <w:rsid w:val="1EC2624D"/>
    <w:rsid w:val="1F2E1817"/>
    <w:rsid w:val="210039AD"/>
    <w:rsid w:val="21411A17"/>
    <w:rsid w:val="24A9374C"/>
    <w:rsid w:val="25A93CFE"/>
    <w:rsid w:val="27D33279"/>
    <w:rsid w:val="28106696"/>
    <w:rsid w:val="283A16E0"/>
    <w:rsid w:val="28812B64"/>
    <w:rsid w:val="28EA6ACC"/>
    <w:rsid w:val="295578B9"/>
    <w:rsid w:val="29E17ECF"/>
    <w:rsid w:val="2A3E252F"/>
    <w:rsid w:val="2DB11966"/>
    <w:rsid w:val="2F485FCE"/>
    <w:rsid w:val="2FD47B8E"/>
    <w:rsid w:val="315326A5"/>
    <w:rsid w:val="324721D0"/>
    <w:rsid w:val="333B43DF"/>
    <w:rsid w:val="33E43A69"/>
    <w:rsid w:val="345B3646"/>
    <w:rsid w:val="379C0FF0"/>
    <w:rsid w:val="381A72E8"/>
    <w:rsid w:val="390A7DBB"/>
    <w:rsid w:val="39312D6A"/>
    <w:rsid w:val="397239FD"/>
    <w:rsid w:val="3A073FB5"/>
    <w:rsid w:val="3A97560B"/>
    <w:rsid w:val="3AC311D5"/>
    <w:rsid w:val="3BD2650A"/>
    <w:rsid w:val="3C240E73"/>
    <w:rsid w:val="3C5E3955"/>
    <w:rsid w:val="3C737DAB"/>
    <w:rsid w:val="3D1B75B7"/>
    <w:rsid w:val="3E854E75"/>
    <w:rsid w:val="3EE75F67"/>
    <w:rsid w:val="3F366B03"/>
    <w:rsid w:val="3F4C10DC"/>
    <w:rsid w:val="3FB02CDC"/>
    <w:rsid w:val="3FB8246C"/>
    <w:rsid w:val="40EE67D3"/>
    <w:rsid w:val="42E952C4"/>
    <w:rsid w:val="44BA43F5"/>
    <w:rsid w:val="44BE685A"/>
    <w:rsid w:val="451E1E83"/>
    <w:rsid w:val="46155FDB"/>
    <w:rsid w:val="47E17346"/>
    <w:rsid w:val="49F63DFB"/>
    <w:rsid w:val="508F6894"/>
    <w:rsid w:val="52220DEB"/>
    <w:rsid w:val="534722A1"/>
    <w:rsid w:val="5364772A"/>
    <w:rsid w:val="53E82F40"/>
    <w:rsid w:val="54644976"/>
    <w:rsid w:val="551A5EDA"/>
    <w:rsid w:val="569A0FA7"/>
    <w:rsid w:val="57E20BA8"/>
    <w:rsid w:val="58CD3249"/>
    <w:rsid w:val="59033B19"/>
    <w:rsid w:val="597F4D86"/>
    <w:rsid w:val="5BC07475"/>
    <w:rsid w:val="5D3825F6"/>
    <w:rsid w:val="5D384297"/>
    <w:rsid w:val="5E2C1D02"/>
    <w:rsid w:val="5EE81A3A"/>
    <w:rsid w:val="5F6515CF"/>
    <w:rsid w:val="5FB26BF5"/>
    <w:rsid w:val="5FBC4017"/>
    <w:rsid w:val="61CB22EF"/>
    <w:rsid w:val="62705956"/>
    <w:rsid w:val="62A35132"/>
    <w:rsid w:val="63BF0D14"/>
    <w:rsid w:val="654B39CA"/>
    <w:rsid w:val="657467A8"/>
    <w:rsid w:val="65F135DB"/>
    <w:rsid w:val="670105F1"/>
    <w:rsid w:val="67A914DA"/>
    <w:rsid w:val="67CB74FC"/>
    <w:rsid w:val="69584DB0"/>
    <w:rsid w:val="69D56819"/>
    <w:rsid w:val="69E70610"/>
    <w:rsid w:val="6CFC0426"/>
    <w:rsid w:val="6F7274F8"/>
    <w:rsid w:val="70204893"/>
    <w:rsid w:val="710E63F5"/>
    <w:rsid w:val="7187186F"/>
    <w:rsid w:val="73E00E2F"/>
    <w:rsid w:val="742D0BE7"/>
    <w:rsid w:val="7452521E"/>
    <w:rsid w:val="762F0379"/>
    <w:rsid w:val="77206342"/>
    <w:rsid w:val="784D6ECA"/>
    <w:rsid w:val="79730950"/>
    <w:rsid w:val="79E05CB1"/>
    <w:rsid w:val="7B5A6468"/>
    <w:rsid w:val="7B8A301E"/>
    <w:rsid w:val="7CA316F0"/>
    <w:rsid w:val="7CE65DD7"/>
    <w:rsid w:val="7E26084C"/>
    <w:rsid w:val="7E3F60E7"/>
    <w:rsid w:val="7E577FFF"/>
    <w:rsid w:val="7FCD0635"/>
    <w:rsid w:val="7FEE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4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ind w:left="567" w:hanging="567" w:firstLineChars="0"/>
      <w:outlineLvl w:val="1"/>
    </w:pPr>
    <w:rPr>
      <w:rFonts w:ascii="Arial" w:hAnsi="Arial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缩进正文"/>
    <w:basedOn w:val="1"/>
    <w:next w:val="1"/>
    <w:qFormat/>
    <w:uiPriority w:val="0"/>
    <w:pPr>
      <w:ind w:firstLine="0" w:firstLineChars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font11"/>
    <w:basedOn w:val="11"/>
    <w:uiPriority w:val="0"/>
    <w:rPr>
      <w:rFonts w:hint="default" w:ascii="CESI仿宋-GB2312" w:hAnsi="CESI仿宋-GB2312" w:eastAsia="CESI仿宋-GB2312" w:cs="CESI仿宋-GB2312"/>
      <w:color w:val="000000"/>
      <w:sz w:val="21"/>
      <w:szCs w:val="21"/>
      <w:u w:val="none"/>
    </w:rPr>
  </w:style>
  <w:style w:type="paragraph" w:customStyle="1" w:styleId="14">
    <w:name w:val="_Style 2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2414</Words>
  <Characters>2496</Characters>
  <Lines>0</Lines>
  <Paragraphs>0</Paragraphs>
  <TotalTime>2</TotalTime>
  <ScaleCrop>false</ScaleCrop>
  <LinksUpToDate>false</LinksUpToDate>
  <CharactersWithSpaces>2508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2026-05-21T01:40:00Z</dcterms:created>
  <dc:creator>Administrator</dc:creator>
  <cp:lastModifiedBy>安德-维京</cp:lastModifiedBy>
  <cp:lastPrinted>2026-10-16T02:25:00Z</cp:lastPrinted>
  <dcterms:modified xsi:type="dcterms:W3CDTF">2026-10-16T07:41:32Z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eyJoZGlkIjoiNzA1YzYwMTM1MDMwYjNlMTVhZjU1MTM1ODIzNTA3NDQiLCJ1c2VySWQiOiI1MjA0MjkwNzQifQ==</vt:lpwstr>
  </property>
  <property fmtid="{D5CDD505-2E9C-101B-9397-08002B2CF9AE}" pid="4" name="ICV">
    <vt:lpwstr>8BE2473A8DFD40B18D10337853BDA2E7_12</vt:lpwstr>
  </property>
</Properties>
</file>