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DFD7B5">
      <w:pPr>
        <w:keepNext w:val="0"/>
        <w:keepLines w:val="0"/>
        <w:pageBreakBefore w:val="0"/>
        <w:widowControl w:val="0"/>
        <w:kinsoku/>
        <w:wordWrap/>
        <w:overflowPunct/>
        <w:topLinePunct w:val="0"/>
        <w:autoSpaceDE/>
        <w:autoSpaceDN/>
        <w:bidi w:val="0"/>
        <w:adjustRightInd/>
        <w:snapToGrid/>
        <w:spacing w:line="660" w:lineRule="exact"/>
        <w:jc w:val="left"/>
        <w:textAlignment w:val="auto"/>
        <w:rPr>
          <w:rFonts w:hint="default" w:ascii="Times New Roman" w:hAnsi="Times New Roman" w:eastAsia="方正黑体简体" w:cs="Times New Roman"/>
          <w:i w:val="0"/>
          <w:iCs w:val="0"/>
          <w:caps w:val="0"/>
          <w:color w:val="000000"/>
          <w:spacing w:val="0"/>
          <w:sz w:val="32"/>
          <w:szCs w:val="32"/>
          <w:shd w:val="clear" w:fill="FFFFFF"/>
          <w:lang w:val="en-US" w:eastAsia="zh-CN"/>
        </w:rPr>
      </w:pPr>
      <w:r>
        <w:rPr>
          <w:rFonts w:hint="default" w:ascii="Times New Roman" w:hAnsi="Times New Roman" w:eastAsia="方正黑体简体" w:cs="Times New Roman"/>
          <w:i w:val="0"/>
          <w:iCs w:val="0"/>
          <w:caps w:val="0"/>
          <w:color w:val="000000"/>
          <w:spacing w:val="0"/>
          <w:sz w:val="32"/>
          <w:szCs w:val="32"/>
          <w:shd w:val="clear" w:fill="FFFFFF"/>
          <w:lang w:val="en-US" w:eastAsia="zh-CN"/>
        </w:rPr>
        <w:t>附件1</w:t>
      </w:r>
      <w:bookmarkStart w:id="0" w:name="_GoBack"/>
      <w:bookmarkEnd w:id="0"/>
    </w:p>
    <w:p w14:paraId="10AFF7B2">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万源市人民医院</w:t>
      </w:r>
    </w:p>
    <w:p w14:paraId="1C6C3322">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医疗机构责任险采购需求</w:t>
      </w:r>
    </w:p>
    <w:p w14:paraId="70B163D0">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sz w:val="44"/>
          <w:szCs w:val="44"/>
          <w:lang w:val="en-US" w:eastAsia="zh-CN"/>
        </w:rPr>
      </w:pPr>
    </w:p>
    <w:p w14:paraId="57E268C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一、项目总体情况</w:t>
      </w:r>
    </w:p>
    <w:p w14:paraId="739F644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方正楷体简体" w:hAnsi="方正楷体简体" w:eastAsia="方正楷体简体" w:cs="方正楷体简体"/>
          <w:sz w:val="32"/>
          <w:szCs w:val="32"/>
          <w:lang w:val="en-US" w:eastAsia="zh-CN"/>
        </w:rPr>
        <w:t>(一)项目名称：</w:t>
      </w:r>
      <w:r>
        <w:rPr>
          <w:rFonts w:hint="default" w:ascii="Times New Roman" w:hAnsi="Times New Roman" w:eastAsia="方正仿宋简体" w:cs="Times New Roman"/>
          <w:sz w:val="32"/>
          <w:szCs w:val="32"/>
          <w:lang w:val="en-US" w:eastAsia="zh-CN"/>
        </w:rPr>
        <w:t>202</w:t>
      </w:r>
      <w:r>
        <w:rPr>
          <w:rFonts w:hint="eastAsia" w:ascii="Times New Roman" w:hAnsi="Times New Roman" w:eastAsia="方正仿宋简体" w:cs="Times New Roman"/>
          <w:sz w:val="32"/>
          <w:szCs w:val="32"/>
          <w:lang w:val="en-US" w:eastAsia="zh-CN"/>
        </w:rPr>
        <w:t>7</w:t>
      </w:r>
      <w:r>
        <w:rPr>
          <w:rFonts w:hint="default" w:ascii="Times New Roman" w:hAnsi="Times New Roman" w:eastAsia="方正仿宋简体" w:cs="Times New Roman"/>
          <w:sz w:val="32"/>
          <w:szCs w:val="32"/>
          <w:lang w:val="en-US" w:eastAsia="zh-CN"/>
        </w:rPr>
        <w:t>年度医疗责任保险</w:t>
      </w:r>
      <w:r>
        <w:rPr>
          <w:rFonts w:hint="eastAsia" w:ascii="Times New Roman" w:hAnsi="Times New Roman" w:eastAsia="方正仿宋简体" w:cs="Times New Roman"/>
          <w:sz w:val="32"/>
          <w:szCs w:val="32"/>
          <w:lang w:val="en-US" w:eastAsia="zh-CN"/>
        </w:rPr>
        <w:t>。</w:t>
      </w:r>
    </w:p>
    <w:p w14:paraId="4681C59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方正楷体简体" w:hAnsi="方正楷体简体" w:eastAsia="方正楷体简体" w:cs="方正楷体简体"/>
          <w:sz w:val="32"/>
          <w:szCs w:val="32"/>
          <w:lang w:val="en-US" w:eastAsia="zh-CN"/>
        </w:rPr>
        <w:t>(二)项目所属年度</w:t>
      </w:r>
      <w:r>
        <w:rPr>
          <w:rFonts w:hint="eastAsia" w:ascii="方正楷体简体" w:hAnsi="方正楷体简体" w:eastAsia="方正楷体简体" w:cs="方正楷体简体"/>
          <w:sz w:val="32"/>
          <w:szCs w:val="32"/>
          <w:lang w:val="en-US" w:eastAsia="zh-CN"/>
        </w:rPr>
        <w:t>：</w:t>
      </w:r>
      <w:r>
        <w:rPr>
          <w:rFonts w:hint="default" w:ascii="Times New Roman" w:hAnsi="Times New Roman" w:eastAsia="方正仿宋简体" w:cs="Times New Roman"/>
          <w:sz w:val="32"/>
          <w:szCs w:val="32"/>
          <w:lang w:val="en-US" w:eastAsia="zh-CN"/>
        </w:rPr>
        <w:t>202</w:t>
      </w:r>
      <w:r>
        <w:rPr>
          <w:rFonts w:hint="eastAsia" w:ascii="Times New Roman" w:hAnsi="Times New Roman" w:eastAsia="方正仿宋简体" w:cs="Times New Roman"/>
          <w:sz w:val="32"/>
          <w:szCs w:val="32"/>
          <w:lang w:val="en-US" w:eastAsia="zh-CN"/>
        </w:rPr>
        <w:t>7</w:t>
      </w:r>
      <w:r>
        <w:rPr>
          <w:rFonts w:hint="default" w:ascii="Times New Roman" w:hAnsi="Times New Roman" w:eastAsia="方正仿宋简体" w:cs="Times New Roman"/>
          <w:sz w:val="32"/>
          <w:szCs w:val="32"/>
          <w:lang w:val="en-US" w:eastAsia="zh-CN"/>
        </w:rPr>
        <w:t>年</w:t>
      </w:r>
      <w:r>
        <w:rPr>
          <w:rFonts w:hint="eastAsia" w:ascii="Times New Roman" w:hAnsi="Times New Roman" w:eastAsia="方正仿宋简体" w:cs="Times New Roman"/>
          <w:sz w:val="32"/>
          <w:szCs w:val="32"/>
          <w:lang w:val="en-US" w:eastAsia="zh-CN"/>
        </w:rPr>
        <w:t>。</w:t>
      </w:r>
    </w:p>
    <w:p w14:paraId="45696C3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方正楷体简体" w:hAnsi="方正楷体简体" w:eastAsia="方正楷体简体" w:cs="方正楷体简体"/>
          <w:sz w:val="32"/>
          <w:szCs w:val="32"/>
          <w:lang w:val="en-US" w:eastAsia="zh-CN"/>
        </w:rPr>
        <w:t>(三)项目所属分类</w:t>
      </w:r>
      <w:r>
        <w:rPr>
          <w:rFonts w:hint="eastAsia" w:ascii="方正楷体简体" w:hAnsi="方正楷体简体" w:eastAsia="方正楷体简体" w:cs="方正楷体简体"/>
          <w:sz w:val="32"/>
          <w:szCs w:val="32"/>
          <w:lang w:val="en-US" w:eastAsia="zh-CN"/>
        </w:rPr>
        <w:t>：</w:t>
      </w:r>
      <w:r>
        <w:rPr>
          <w:rFonts w:hint="default" w:ascii="Times New Roman" w:hAnsi="Times New Roman" w:eastAsia="方正仿宋简体" w:cs="Times New Roman"/>
          <w:sz w:val="32"/>
          <w:szCs w:val="32"/>
          <w:lang w:val="en-US" w:eastAsia="zh-CN"/>
        </w:rPr>
        <w:t>服务</w:t>
      </w:r>
      <w:r>
        <w:rPr>
          <w:rFonts w:hint="eastAsia" w:ascii="Times New Roman" w:hAnsi="Times New Roman" w:eastAsia="方正仿宋简体" w:cs="Times New Roman"/>
          <w:sz w:val="32"/>
          <w:szCs w:val="32"/>
          <w:lang w:val="en-US" w:eastAsia="zh-CN"/>
        </w:rPr>
        <w:t>。</w:t>
      </w:r>
    </w:p>
    <w:p w14:paraId="6356BA3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方正楷体简体" w:hAnsi="方正楷体简体" w:eastAsia="方正楷体简体" w:cs="方正楷体简体"/>
          <w:sz w:val="32"/>
          <w:szCs w:val="32"/>
          <w:lang w:val="en-US" w:eastAsia="zh-CN"/>
        </w:rPr>
      </w:pPr>
      <w:r>
        <w:rPr>
          <w:rFonts w:hint="default" w:ascii="方正楷体简体" w:hAnsi="方正楷体简体" w:eastAsia="方正楷体简体" w:cs="方正楷体简体"/>
          <w:sz w:val="32"/>
          <w:szCs w:val="32"/>
          <w:lang w:val="en-US" w:eastAsia="zh-CN"/>
        </w:rPr>
        <w:t>(</w:t>
      </w:r>
      <w:r>
        <w:rPr>
          <w:rFonts w:hint="eastAsia" w:ascii="方正楷体简体" w:hAnsi="方正楷体简体" w:eastAsia="方正楷体简体" w:cs="方正楷体简体"/>
          <w:sz w:val="32"/>
          <w:szCs w:val="32"/>
          <w:lang w:val="en-US" w:eastAsia="zh-CN"/>
        </w:rPr>
        <w:t>四</w:t>
      </w:r>
      <w:r>
        <w:rPr>
          <w:rFonts w:hint="default" w:ascii="方正楷体简体" w:hAnsi="方正楷体简体" w:eastAsia="方正楷体简体" w:cs="方正楷体简体"/>
          <w:sz w:val="32"/>
          <w:szCs w:val="32"/>
          <w:lang w:val="en-US" w:eastAsia="zh-CN"/>
        </w:rPr>
        <w:t>)项目概况:</w:t>
      </w:r>
    </w:p>
    <w:p w14:paraId="5D79B0E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.险种:医疗责任保险</w:t>
      </w:r>
      <w:r>
        <w:rPr>
          <w:rFonts w:hint="eastAsia" w:ascii="Times New Roman" w:hAnsi="Times New Roman" w:eastAsia="方正仿宋简体" w:cs="Times New Roman"/>
          <w:sz w:val="32"/>
          <w:szCs w:val="32"/>
          <w:lang w:val="en-US" w:eastAsia="zh-CN"/>
        </w:rPr>
        <w:t>。</w:t>
      </w:r>
    </w:p>
    <w:p w14:paraId="676CAAD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lang w:val="en-US" w:eastAsia="zh-CN"/>
        </w:rPr>
        <w:t>.医疗责任保险限额标准</w:t>
      </w: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每人(患者)事故赔付限额20万元</w:t>
      </w:r>
      <w:r>
        <w:rPr>
          <w:rFonts w:hint="eastAsia"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lang w:val="en-US" w:eastAsia="zh-CN"/>
        </w:rPr>
        <w:t>年度累计医疗责任保险赔付限额</w:t>
      </w: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00万元</w:t>
      </w:r>
      <w:r>
        <w:rPr>
          <w:rFonts w:hint="eastAsia" w:ascii="Times New Roman" w:hAnsi="Times New Roman" w:eastAsia="方正仿宋简体" w:cs="Times New Roman"/>
          <w:sz w:val="32"/>
          <w:szCs w:val="32"/>
          <w:lang w:val="en-US" w:eastAsia="zh-CN"/>
        </w:rPr>
        <w:t>；（3）</w:t>
      </w:r>
      <w:r>
        <w:rPr>
          <w:rFonts w:hint="default" w:ascii="Times New Roman" w:hAnsi="Times New Roman" w:eastAsia="方正仿宋简体" w:cs="Times New Roman"/>
          <w:sz w:val="32"/>
          <w:szCs w:val="32"/>
          <w:lang w:val="en-US" w:eastAsia="zh-CN"/>
        </w:rPr>
        <w:t>每次事故免赔率10%或</w:t>
      </w: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000元</w:t>
      </w:r>
      <w:r>
        <w:rPr>
          <w:rFonts w:hint="eastAsia" w:ascii="Times New Roman" w:hAnsi="Times New Roman" w:eastAsia="方正仿宋简体" w:cs="Times New Roman"/>
          <w:sz w:val="32"/>
          <w:szCs w:val="32"/>
          <w:lang w:val="en-US" w:eastAsia="zh-CN"/>
        </w:rPr>
        <w:t>,以高者计算；（4）</w:t>
      </w:r>
      <w:r>
        <w:rPr>
          <w:rFonts w:hint="default" w:ascii="Times New Roman" w:hAnsi="Times New Roman" w:eastAsia="方正仿宋简体" w:cs="Times New Roman"/>
          <w:sz w:val="32"/>
          <w:szCs w:val="32"/>
          <w:lang w:val="en-US" w:eastAsia="zh-CN"/>
        </w:rPr>
        <w:t>法律费用责任限额，每次事故限额2万元，累计责任限额10</w:t>
      </w:r>
      <w:r>
        <w:rPr>
          <w:rFonts w:hint="eastAsia" w:ascii="Times New Roman" w:hAnsi="Times New Roman" w:eastAsia="方正仿宋简体" w:cs="Times New Roman"/>
          <w:sz w:val="32"/>
          <w:szCs w:val="32"/>
          <w:lang w:val="en-US" w:eastAsia="zh-CN"/>
        </w:rPr>
        <w:t>万元</w:t>
      </w:r>
      <w:r>
        <w:rPr>
          <w:rFonts w:hint="default" w:ascii="Times New Roman" w:hAnsi="Times New Roman" w:eastAsia="方正仿宋简体" w:cs="Times New Roman"/>
          <w:sz w:val="32"/>
          <w:szCs w:val="32"/>
          <w:lang w:val="en-US" w:eastAsia="zh-CN"/>
        </w:rPr>
        <w:t>。</w:t>
      </w:r>
    </w:p>
    <w:p w14:paraId="616B4B2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3</w:t>
      </w:r>
      <w:r>
        <w:rPr>
          <w:rFonts w:hint="default" w:ascii="Times New Roman" w:hAnsi="Times New Roman" w:eastAsia="方正仿宋简体" w:cs="Times New Roman"/>
          <w:sz w:val="32"/>
          <w:szCs w:val="32"/>
          <w:lang w:val="en-US" w:eastAsia="zh-CN"/>
        </w:rPr>
        <w:t>.医疗责任保险投保相关数据</w:t>
      </w:r>
      <w:r>
        <w:rPr>
          <w:rFonts w:hint="eastAsia" w:ascii="Times New Roman" w:hAnsi="Times New Roman" w:eastAsia="方正仿宋简体" w:cs="Times New Roman"/>
          <w:sz w:val="32"/>
          <w:szCs w:val="32"/>
          <w:lang w:val="en-US" w:eastAsia="zh-CN"/>
        </w:rPr>
        <w:t>（仅</w:t>
      </w:r>
      <w:r>
        <w:rPr>
          <w:rFonts w:hint="default" w:ascii="Times New Roman" w:hAnsi="Times New Roman" w:eastAsia="方正仿宋简体" w:cs="Times New Roman"/>
          <w:sz w:val="32"/>
          <w:szCs w:val="32"/>
          <w:lang w:val="en-US" w:eastAsia="zh-CN"/>
        </w:rPr>
        <w:t>供参考</w:t>
      </w:r>
      <w:r>
        <w:rPr>
          <w:rFonts w:hint="eastAsia" w:ascii="Times New Roman" w:hAnsi="Times New Roman" w:eastAsia="方正仿宋简体" w:cs="Times New Roman"/>
          <w:sz w:val="32"/>
          <w:szCs w:val="32"/>
          <w:lang w:val="en-US" w:eastAsia="zh-CN"/>
        </w:rPr>
        <w:t>）：（1）编制</w:t>
      </w:r>
      <w:r>
        <w:rPr>
          <w:rFonts w:hint="default" w:ascii="Times New Roman" w:hAnsi="Times New Roman" w:eastAsia="方正仿宋简体" w:cs="Times New Roman"/>
          <w:sz w:val="32"/>
          <w:szCs w:val="32"/>
          <w:lang w:val="en-US" w:eastAsia="zh-CN"/>
        </w:rPr>
        <w:t>床位数量:500张</w:t>
      </w:r>
      <w:r>
        <w:rPr>
          <w:rFonts w:hint="eastAsia"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lang w:val="en-US" w:eastAsia="zh-CN"/>
        </w:rPr>
        <w:t>202</w:t>
      </w:r>
      <w:r>
        <w:rPr>
          <w:rFonts w:hint="eastAsia" w:ascii="Times New Roman" w:hAnsi="Times New Roman" w:eastAsia="方正仿宋简体" w:cs="Times New Roman"/>
          <w:sz w:val="32"/>
          <w:szCs w:val="32"/>
          <w:lang w:val="en-US" w:eastAsia="zh-CN"/>
        </w:rPr>
        <w:t>5</w:t>
      </w:r>
      <w:r>
        <w:rPr>
          <w:rFonts w:hint="default" w:ascii="Times New Roman" w:hAnsi="Times New Roman" w:eastAsia="方正仿宋简体" w:cs="Times New Roman"/>
          <w:sz w:val="32"/>
          <w:szCs w:val="32"/>
          <w:lang w:val="en-US" w:eastAsia="zh-CN"/>
        </w:rPr>
        <w:t>年度手术台次:</w:t>
      </w:r>
      <w:r>
        <w:rPr>
          <w:rFonts w:hint="eastAsia" w:ascii="Times New Roman" w:hAnsi="Times New Roman" w:eastAsia="方正仿宋简体" w:cs="Times New Roman"/>
          <w:sz w:val="32"/>
          <w:szCs w:val="32"/>
          <w:lang w:val="en-US" w:eastAsia="zh-CN"/>
        </w:rPr>
        <w:t>6500</w:t>
      </w:r>
      <w:r>
        <w:rPr>
          <w:rFonts w:hint="default" w:ascii="Times New Roman" w:hAnsi="Times New Roman" w:eastAsia="方正仿宋简体" w:cs="Times New Roman"/>
          <w:sz w:val="32"/>
          <w:szCs w:val="32"/>
          <w:lang w:val="en-US" w:eastAsia="zh-CN"/>
        </w:rPr>
        <w:t>台次</w:t>
      </w:r>
      <w:r>
        <w:rPr>
          <w:rFonts w:hint="eastAsia" w:ascii="Times New Roman" w:hAnsi="Times New Roman" w:eastAsia="方正仿宋简体" w:cs="Times New Roman"/>
          <w:sz w:val="32"/>
          <w:szCs w:val="32"/>
          <w:lang w:val="en-US" w:eastAsia="zh-CN"/>
        </w:rPr>
        <w:t>，住院人次34144人次；（3）投保医护人员538人，浮动10%</w:t>
      </w:r>
      <w:r>
        <w:rPr>
          <w:rFonts w:hint="default" w:ascii="Times New Roman" w:hAnsi="Times New Roman" w:eastAsia="方正仿宋简体" w:cs="Times New Roman"/>
          <w:sz w:val="32"/>
          <w:szCs w:val="32"/>
          <w:lang w:val="en-US" w:eastAsia="zh-CN"/>
        </w:rPr>
        <w:t>。</w:t>
      </w:r>
    </w:p>
    <w:p w14:paraId="5298E59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二</w:t>
      </w:r>
      <w:r>
        <w:rPr>
          <w:rFonts w:hint="default" w:ascii="方正黑体简体" w:hAnsi="方正黑体简体" w:eastAsia="方正黑体简体" w:cs="方正黑体简体"/>
          <w:sz w:val="32"/>
          <w:szCs w:val="32"/>
          <w:lang w:val="en-US" w:eastAsia="zh-CN"/>
        </w:rPr>
        <w:t>、项目需求</w:t>
      </w:r>
    </w:p>
    <w:p w14:paraId="28605B3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方正楷体简体" w:hAnsi="方正楷体简体" w:eastAsia="方正楷体简体" w:cs="方正楷体简体"/>
          <w:sz w:val="32"/>
          <w:szCs w:val="32"/>
          <w:lang w:val="en-US" w:eastAsia="zh-CN"/>
        </w:rPr>
      </w:pPr>
      <w:r>
        <w:rPr>
          <w:rFonts w:hint="default" w:ascii="方正楷体简体" w:hAnsi="方正楷体简体" w:eastAsia="方正楷体简体" w:cs="方正楷体简体"/>
          <w:sz w:val="32"/>
          <w:szCs w:val="32"/>
          <w:lang w:val="en-US" w:eastAsia="zh-CN"/>
        </w:rPr>
        <w:t>(</w:t>
      </w:r>
      <w:r>
        <w:rPr>
          <w:rFonts w:hint="eastAsia" w:ascii="方正楷体简体" w:hAnsi="方正楷体简体" w:eastAsia="方正楷体简体" w:cs="方正楷体简体"/>
          <w:sz w:val="32"/>
          <w:szCs w:val="32"/>
          <w:lang w:val="en-US" w:eastAsia="zh-CN"/>
        </w:rPr>
        <w:t>一</w:t>
      </w:r>
      <w:r>
        <w:rPr>
          <w:rFonts w:hint="default" w:ascii="方正楷体简体" w:hAnsi="方正楷体简体" w:eastAsia="方正楷体简体" w:cs="方正楷体简体"/>
          <w:sz w:val="32"/>
          <w:szCs w:val="32"/>
          <w:lang w:val="en-US" w:eastAsia="zh-CN"/>
        </w:rPr>
        <w:t>)</w:t>
      </w:r>
      <w:r>
        <w:rPr>
          <w:rFonts w:hint="eastAsia" w:ascii="方正楷体简体" w:hAnsi="方正楷体简体" w:eastAsia="方正楷体简体" w:cs="方正楷体简体"/>
          <w:sz w:val="32"/>
          <w:szCs w:val="32"/>
          <w:lang w:val="en-US" w:eastAsia="zh-CN"/>
        </w:rPr>
        <w:t>技术参数</w:t>
      </w:r>
    </w:p>
    <w:p w14:paraId="7DFFBEB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在保险单列明的保险期间或追溯期及承保区域范围内，在保险单中载明的被保险人的医务人员</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以下简称投保医务人员</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在诊疗活动中，因执业过失造成患者人身损害，在本保险期间内，由患者或其近亲属首次向被保险人提出索赔申请，依法应由被保险人承担民事赔偿责任时，保险人按照本项目的约定负责赔偿</w:t>
      </w:r>
      <w:r>
        <w:rPr>
          <w:rFonts w:hint="eastAsia" w:ascii="Times New Roman" w:hAnsi="Times New Roman" w:eastAsia="方正仿宋简体" w:cs="Times New Roman"/>
          <w:sz w:val="32"/>
          <w:szCs w:val="32"/>
          <w:lang w:val="en-US" w:eastAsia="zh-CN"/>
        </w:rPr>
        <w:t>。</w:t>
      </w:r>
    </w:p>
    <w:p w14:paraId="18D3230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lang w:val="en-US" w:eastAsia="zh-CN"/>
        </w:rPr>
        <w:t>本项目所指的追溯期是指从保险期间开始之时起向前追溯的约定的期间。追溯期的具体起止时间以保险单载明的时间为准。</w:t>
      </w:r>
    </w:p>
    <w:p w14:paraId="618A79E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（3）</w:t>
      </w:r>
      <w:r>
        <w:rPr>
          <w:rFonts w:hint="default" w:ascii="Times New Roman" w:hAnsi="Times New Roman" w:eastAsia="方正仿宋简体" w:cs="Times New Roman"/>
          <w:sz w:val="32"/>
          <w:szCs w:val="32"/>
          <w:lang w:val="en-US" w:eastAsia="zh-CN"/>
        </w:rPr>
        <w:t>本项目所指的诊疗活动是指通过各种检查，使用药物、器械及手术等方法，对疾病作出判断和消除疾病、缓解病情、减轻痛苦、改善功能、延长生命、帮助患者恢复健康的活动，包括诊断、治疗、护理环节。</w:t>
      </w:r>
    </w:p>
    <w:p w14:paraId="5538986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（4）</w:t>
      </w:r>
      <w:r>
        <w:rPr>
          <w:rFonts w:hint="default" w:ascii="Times New Roman" w:hAnsi="Times New Roman" w:eastAsia="方正仿宋简体" w:cs="Times New Roman"/>
          <w:sz w:val="32"/>
          <w:szCs w:val="32"/>
          <w:lang w:val="en-US" w:eastAsia="zh-CN"/>
        </w:rPr>
        <w:t>保险责任范围内的事故发生后，事先经保险人书面同意的法律费用，包括事故鉴定费、查勘费、取证费、仲裁或诉讼</w:t>
      </w:r>
    </w:p>
    <w:p w14:paraId="2A59314E">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费、案件受理费、律师费等，保险人按照约定也负责赔偿。</w:t>
      </w:r>
    </w:p>
    <w:p w14:paraId="46AE8D0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（5）</w:t>
      </w:r>
      <w:r>
        <w:rPr>
          <w:rFonts w:hint="default" w:ascii="Times New Roman" w:hAnsi="Times New Roman" w:eastAsia="方正仿宋简体" w:cs="Times New Roman"/>
          <w:sz w:val="32"/>
          <w:szCs w:val="32"/>
          <w:lang w:val="en-US" w:eastAsia="zh-CN"/>
        </w:rPr>
        <w:t>免赔</w:t>
      </w:r>
    </w:p>
    <w:p w14:paraId="6A3382E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每次事故绝对免赔人民币</w:t>
      </w: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000元或实际损失的10%，两者以高者为准。</w:t>
      </w:r>
    </w:p>
    <w:p w14:paraId="2D8DB93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lang w:val="en-US" w:eastAsia="zh-CN"/>
        </w:rPr>
        <w:t>附加外请医务人员医疗责任保险条款:</w:t>
      </w:r>
    </w:p>
    <w:p w14:paraId="2DDF7A7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在保险单明细表列明的保险期间或追溯期及承保区域范围</w:t>
      </w:r>
    </w:p>
    <w:p w14:paraId="22A79D30">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内，被保险人外请的医务人员在从事与其资格相符的诊疗活动中，因执业过失造成患者人身损害，在保险期间内，由患者或其近亲属首次向被保险人提出索赔申请，保险人根据约定负责赔偿。</w:t>
      </w:r>
    </w:p>
    <w:p w14:paraId="6106C72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外请医务人员:指因医疗诊治工作需要，被保险人正式批准从其它医疗机构邀请进行会诊的具有相应资格的医务人员。</w:t>
      </w:r>
    </w:p>
    <w:p w14:paraId="60AFAAD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方正楷体简体" w:hAnsi="方正楷体简体" w:eastAsia="方正楷体简体" w:cs="方正楷体简体"/>
          <w:sz w:val="32"/>
          <w:szCs w:val="32"/>
          <w:lang w:val="en-US" w:eastAsia="zh-CN"/>
        </w:rPr>
        <w:t>(</w:t>
      </w:r>
      <w:r>
        <w:rPr>
          <w:rFonts w:hint="eastAsia" w:ascii="方正楷体简体" w:hAnsi="方正楷体简体" w:eastAsia="方正楷体简体" w:cs="方正楷体简体"/>
          <w:sz w:val="32"/>
          <w:szCs w:val="32"/>
          <w:lang w:val="en-US" w:eastAsia="zh-CN"/>
        </w:rPr>
        <w:t>二</w:t>
      </w:r>
      <w:r>
        <w:rPr>
          <w:rFonts w:hint="default" w:ascii="方正楷体简体" w:hAnsi="方正楷体简体" w:eastAsia="方正楷体简体" w:cs="方正楷体简体"/>
          <w:sz w:val="32"/>
          <w:szCs w:val="32"/>
          <w:lang w:val="en-US" w:eastAsia="zh-CN"/>
        </w:rPr>
        <w:t>)</w:t>
      </w:r>
      <w:r>
        <w:rPr>
          <w:rFonts w:hint="default" w:ascii="Times New Roman" w:hAnsi="Times New Roman" w:eastAsia="方正仿宋简体" w:cs="Times New Roman"/>
          <w:sz w:val="32"/>
          <w:szCs w:val="32"/>
          <w:lang w:val="en-US" w:eastAsia="zh-CN"/>
        </w:rPr>
        <w:t>服务要求</w:t>
      </w:r>
    </w:p>
    <w:p w14:paraId="39E2BE4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服务团队</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成交供应商应成立专门的服务团队。由专人负责采购人的理赔事宜</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上门收取资料、接受咨询等</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，负责做好与采购人及其参与人的沟通协调、咨询、费用支付、投诉等服务，以便更好地保证服务质量和时效。</w:t>
      </w:r>
    </w:p>
    <w:p w14:paraId="6920BDD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lang w:val="en-US" w:eastAsia="zh-CN"/>
        </w:rPr>
        <w:t>保密要求</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成交供应商应做好保密措施。因成交供应商泄露采购人相关信息引发的一切后果包括导致采购人名誉受到损害等，由成交供应商全部承担。</w:t>
      </w:r>
    </w:p>
    <w:p w14:paraId="32933AE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（3）</w:t>
      </w:r>
      <w:r>
        <w:rPr>
          <w:rFonts w:hint="default" w:ascii="Times New Roman" w:hAnsi="Times New Roman" w:eastAsia="方正仿宋简体" w:cs="Times New Roman"/>
          <w:sz w:val="32"/>
          <w:szCs w:val="32"/>
          <w:lang w:val="en-US" w:eastAsia="zh-CN"/>
        </w:rPr>
        <w:t>理赔时效</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成交供应商在收到符合理赔规定且齐全的理赔单证后</w:t>
      </w:r>
      <w:r>
        <w:rPr>
          <w:rFonts w:hint="eastAsia" w:ascii="Times New Roman" w:hAnsi="Times New Roman" w:eastAsia="方正仿宋简体" w:cs="Times New Roman"/>
          <w:sz w:val="32"/>
          <w:szCs w:val="32"/>
          <w:lang w:val="en-US" w:eastAsia="zh-CN"/>
        </w:rPr>
        <w:t>15</w:t>
      </w:r>
      <w:r>
        <w:rPr>
          <w:rFonts w:hint="default" w:ascii="Times New Roman" w:hAnsi="Times New Roman" w:eastAsia="方正仿宋简体" w:cs="Times New Roman"/>
          <w:sz w:val="32"/>
          <w:szCs w:val="32"/>
          <w:lang w:val="en-US" w:eastAsia="zh-CN"/>
        </w:rPr>
        <w:t>个工作日内作出理赔结论，并向采购人指定的银行账户划拨保险金。成交供应商按照合同约定，认为有关的证明和资料不完整的，应当及时一次性通知采购人补充提供。</w:t>
      </w:r>
    </w:p>
    <w:p w14:paraId="2CAE605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（4）</w:t>
      </w:r>
      <w:r>
        <w:rPr>
          <w:rFonts w:hint="default" w:ascii="Times New Roman" w:hAnsi="Times New Roman" w:eastAsia="方正仿宋简体" w:cs="Times New Roman"/>
          <w:sz w:val="32"/>
          <w:szCs w:val="32"/>
          <w:lang w:val="en-US" w:eastAsia="zh-CN"/>
        </w:rPr>
        <w:t>理赔通知</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成交供应商应在理赔结束划款后通过短信、电话或书面等形式告知采购人理赔情况。</w:t>
      </w:r>
    </w:p>
    <w:p w14:paraId="2BA3036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（5）</w:t>
      </w:r>
      <w:r>
        <w:rPr>
          <w:rFonts w:hint="default" w:ascii="Times New Roman" w:hAnsi="Times New Roman" w:eastAsia="方正仿宋简体" w:cs="Times New Roman"/>
          <w:sz w:val="32"/>
          <w:szCs w:val="32"/>
          <w:lang w:val="en-US" w:eastAsia="zh-CN"/>
        </w:rPr>
        <w:t>沟通协调</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成交供应商应协调好内部各部门，特别是业务经办部门与客户服务部门的关系，不得相互推诿、丢失理赔资料或拖延理赔。如出现上述问题，成交供应商按采购人索赔申</w:t>
      </w:r>
    </w:p>
    <w:p w14:paraId="3592396B">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请金额进行全额赔偿，采购人不再提供理赔相关资料。</w:t>
      </w:r>
    </w:p>
    <w:p w14:paraId="6C7E5B0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lang w:val="en-US" w:eastAsia="zh-CN"/>
        </w:rPr>
      </w:pPr>
      <w:r>
        <w:rPr>
          <w:rFonts w:hint="eastAsia"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lang w:val="en-US" w:eastAsia="zh-CN"/>
        </w:rPr>
        <w:t>其他要求</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如分公司或分支机构为成交供应商，在签订合同时成交供应商应提供总公司的授权文件(提供承诺函，格式自拟)。</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楷体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65D5B"/>
    <w:rsid w:val="20FC3C98"/>
    <w:rsid w:val="31466AED"/>
    <w:rsid w:val="378671F7"/>
    <w:rsid w:val="472745EF"/>
    <w:rsid w:val="57B54DAC"/>
    <w:rsid w:val="5D645056"/>
    <w:rsid w:val="6A194675"/>
    <w:rsid w:val="7302769E"/>
    <w:rsid w:val="75DD4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7">
    <w:name w:val="font81"/>
    <w:basedOn w:val="6"/>
    <w:uiPriority w:val="0"/>
    <w:rPr>
      <w:rFonts w:hint="eastAsia" w:ascii="宋体" w:hAnsi="宋体" w:eastAsia="宋体" w:cs="宋体"/>
      <w:color w:val="000000"/>
      <w:sz w:val="18"/>
      <w:szCs w:val="18"/>
      <w:u w:val="none"/>
    </w:rPr>
  </w:style>
  <w:style w:type="character" w:customStyle="1" w:styleId="8">
    <w:name w:val="font41"/>
    <w:basedOn w:val="6"/>
    <w:uiPriority w:val="0"/>
    <w:rPr>
      <w:rFonts w:hint="eastAsia" w:ascii="方正仿宋简体" w:hAnsi="方正仿宋简体" w:eastAsia="方正仿宋简体" w:cs="方正仿宋简体"/>
      <w:color w:val="000000"/>
      <w:sz w:val="18"/>
      <w:szCs w:val="18"/>
      <w:u w:val="none"/>
    </w:rPr>
  </w:style>
  <w:style w:type="character" w:customStyle="1" w:styleId="9">
    <w:name w:val="font51"/>
    <w:basedOn w:val="6"/>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1359</Words>
  <Characters>1401</Characters>
  <Lines>0</Lines>
  <Paragraphs>0</Paragraphs>
  <TotalTime>0</TotalTime>
  <ScaleCrop>false</ScaleCrop>
  <LinksUpToDate>false</LinksUpToDate>
  <CharactersWithSpaces>1401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2026-10-21T00:40:00Z</dcterms:created>
  <dc:creator>Administrator</dc:creator>
  <cp:lastModifiedBy>④禧汍ふ~</cp:lastModifiedBy>
  <dcterms:modified xsi:type="dcterms:W3CDTF">2026-10-22T01:41:07Z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eyJoZGlkIjoiZTU4OGQwMWI4ZWY4NDNiODNjMTNhMjIwYWJkMmEwMWQiLCJ1c2VySWQiOiI0NTQyNzk2NzMifQ==</vt:lpwstr>
  </property>
  <property fmtid="{D5CDD505-2E9C-101B-9397-08002B2CF9AE}" pid="4" name="ICV">
    <vt:lpwstr>CC6541EC5E064580B7026B42531B54A9_12</vt:lpwstr>
  </property>
</Properties>
</file>